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rFonts w:ascii="맑은 고딕" w:hAnsi="맑은 고딕" w:eastAsia="맑은 고딕"/>
          <w:b/>
          <w:i w:val="0"/>
          <w:color w:val="003875"/>
          <w:sz w:val="36"/>
        </w:rPr>
        <w:t>주간 아파트 매매가격지수 예측 모델</w:t>
      </w:r>
    </w:p>
    <w:p>
      <w:pPr>
        <w:spacing w:after="360"/>
        <w:jc w:val="center"/>
      </w:pPr>
      <w:r>
        <w:rPr>
          <w:rFonts w:ascii="맑은 고딕" w:hAnsi="맑은 고딕" w:eastAsia="맑은 고딕"/>
          <w:b w:val="0"/>
          <w:i/>
          <w:color w:val="646464"/>
          <w:sz w:val="22"/>
        </w:rPr>
        <w:t>KB Land 데이터 기반  |  서울 6개 구  |  2026년 5월 25일 예측</w:t>
      </w:r>
    </w:p>
    <w:p>
      <w:pPr>
        <w:pStyle w:val="Heading1"/>
        <w:spacing w:before="240" w:after="100"/>
        <w:jc w:val="left"/>
      </w:pPr>
      <w:r>
        <w:rPr>
          <w:rFonts w:ascii="맑은 고딕" w:hAnsi="맑은 고딕" w:eastAsia="맑은 고딕"/>
          <w:b/>
          <w:i w:val="0"/>
          <w:color w:val="003875"/>
          <w:sz w:val="28"/>
        </w:rPr>
        <w:t>1. 데이터 설명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출처: KB 부동산 데이터허브 — 주간 아파트 매매가격지수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기간: 2021.05.10 ~ 2026.05.04 (251주 / 매주 월요일 기준)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대상: 서울 외곽 3구(노원·은평·서대문) + 강남 3구(서초·강남·송파)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지수 기준: 특정 기준 시점 = 100, 상대 가격 변화를 주단위로 추적</w:t>
      </w:r>
    </w:p>
    <w:p>
      <w:pPr>
        <w:pStyle w:val="Heading2"/>
        <w:spacing w:before="160" w:after="60"/>
        <w:jc w:val="left"/>
      </w:pPr>
      <w:r>
        <w:rPr>
          <w:rFonts w:ascii="맑은 고딕" w:hAnsi="맑은 고딕" w:eastAsia="맑은 고딕"/>
          <w:b/>
          <w:i w:val="0"/>
          <w:color w:val="1E64A0"/>
          <w:sz w:val="24"/>
        </w:rPr>
        <w:t>이벤트별 가격 변화량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이벤트 구분: ① COVID 급등기(2021.05~2022.06) / ② 금리인상 하락기(2022.07~2023.12) / ③ 회복기(2024.01~2026.05)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18214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s_02_event_impac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214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i/>
          <w:color w:val="646464"/>
          <w:sz w:val="18"/>
        </w:rPr>
        <w:t>[그림 1] 이벤트 구간별 구별 누적 가격 변화량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72"/>
        <w:gridCol w:w="1272"/>
        <w:gridCol w:w="1272"/>
        <w:gridCol w:w="1272"/>
        <w:gridCol w:w="1272"/>
        <w:gridCol w:w="1272"/>
        <w:gridCol w:w="1272"/>
      </w:tblGrid>
      <w:tr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구</w:t>
            </w:r>
          </w:p>
        </w:tc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COVID 급등기</w:t>
              <w:br/>
              <w:t>누적변화</w:t>
            </w:r>
          </w:p>
        </w:tc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COVID 급등기</w:t>
              <w:br/>
              <w:t>변화율(%)</w:t>
            </w:r>
          </w:p>
        </w:tc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금리인상 하락기</w:t>
              <w:br/>
              <w:t>누적변화</w:t>
            </w:r>
          </w:p>
        </w:tc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금리인상 하락기</w:t>
              <w:br/>
              <w:t>변화율(%)</w:t>
            </w:r>
          </w:p>
        </w:tc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회복기</w:t>
              <w:br/>
              <w:t>누적변화</w:t>
            </w:r>
          </w:p>
        </w:tc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회복기</w:t>
              <w:br/>
              <w:t>변화율(%)</w:t>
            </w:r>
          </w:p>
        </w:tc>
      </w:tr>
      <w:tr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노원구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+12.05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+11.4%</w:t>
            </w:r>
          </w:p>
        </w:tc>
        <w:tc>
          <w:tcPr>
            <w:tcW w:type="dxa" w:w="1272"/>
            <w:vAlign w:val="center"/>
            <w:shd w:val="clear" w:color="auto" w:fill="FF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-18.50</w:t>
            </w:r>
          </w:p>
        </w:tc>
        <w:tc>
          <w:tcPr>
            <w:tcW w:type="dxa" w:w="1272"/>
            <w:vAlign w:val="center"/>
            <w:shd w:val="clear" w:color="auto" w:fill="FF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-15.8%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+6.08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+6.1%</w:t>
            </w:r>
          </w:p>
        </w:tc>
      </w:tr>
      <w:tr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은평구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+9.84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+10.2%</w:t>
            </w:r>
          </w:p>
        </w:tc>
        <w:tc>
          <w:tcPr>
            <w:tcW w:type="dxa" w:w="1272"/>
            <w:vAlign w:val="center"/>
            <w:shd w:val="clear" w:color="auto" w:fill="FF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-10.47</w:t>
            </w:r>
          </w:p>
        </w:tc>
        <w:tc>
          <w:tcPr>
            <w:tcW w:type="dxa" w:w="1272"/>
            <w:vAlign w:val="center"/>
            <w:shd w:val="clear" w:color="auto" w:fill="FF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-9.8%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+7.39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+7.7%</w:t>
            </w:r>
          </w:p>
        </w:tc>
      </w:tr>
      <w:tr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서대문구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+6.67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+7.2%</w:t>
            </w:r>
          </w:p>
        </w:tc>
        <w:tc>
          <w:tcPr>
            <w:tcW w:type="dxa" w:w="1272"/>
            <w:vAlign w:val="center"/>
            <w:shd w:val="clear" w:color="auto" w:fill="FF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-10.59</w:t>
            </w:r>
          </w:p>
        </w:tc>
        <w:tc>
          <w:tcPr>
            <w:tcW w:type="dxa" w:w="1272"/>
            <w:vAlign w:val="center"/>
            <w:shd w:val="clear" w:color="auto" w:fill="FF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-10.7%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+18.75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+21.2%</w:t>
            </w:r>
          </w:p>
        </w:tc>
      </w:tr>
      <w:tr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서초구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+10.34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+14.0%</w:t>
            </w:r>
          </w:p>
        </w:tc>
        <w:tc>
          <w:tcPr>
            <w:tcW w:type="dxa" w:w="1272"/>
            <w:vAlign w:val="center"/>
            <w:shd w:val="clear" w:color="auto" w:fill="FF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-4.87</w:t>
            </w:r>
          </w:p>
        </w:tc>
        <w:tc>
          <w:tcPr>
            <w:tcW w:type="dxa" w:w="1272"/>
            <w:vAlign w:val="center"/>
            <w:shd w:val="clear" w:color="auto" w:fill="FF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-5.8%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+22.18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+27.9%</w:t>
            </w:r>
          </w:p>
        </w:tc>
      </w:tr>
      <w:tr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강남구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+7.04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+9.7%</w:t>
            </w:r>
          </w:p>
        </w:tc>
        <w:tc>
          <w:tcPr>
            <w:tcW w:type="dxa" w:w="1272"/>
            <w:vAlign w:val="center"/>
            <w:shd w:val="clear" w:color="auto" w:fill="FF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-3.37</w:t>
            </w:r>
          </w:p>
        </w:tc>
        <w:tc>
          <w:tcPr>
            <w:tcW w:type="dxa" w:w="1272"/>
            <w:vAlign w:val="center"/>
            <w:shd w:val="clear" w:color="auto" w:fill="FF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-4.2%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+23.43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+30.7%</w:t>
            </w:r>
          </w:p>
        </w:tc>
      </w:tr>
      <w:tr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송파구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+7.25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+10.0%</w:t>
            </w:r>
          </w:p>
        </w:tc>
        <w:tc>
          <w:tcPr>
            <w:tcW w:type="dxa" w:w="1272"/>
            <w:vAlign w:val="center"/>
            <w:shd w:val="clear" w:color="auto" w:fill="FF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-5.41</w:t>
            </w:r>
          </w:p>
        </w:tc>
        <w:tc>
          <w:tcPr>
            <w:tcW w:type="dxa" w:w="1272"/>
            <w:vAlign w:val="center"/>
            <w:shd w:val="clear" w:color="auto" w:fill="FF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-6.8%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+28.42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+38.1%</w:t>
            </w:r>
          </w:p>
        </w:tc>
      </w:tr>
      <w:tr>
        <w:tc>
          <w:tcPr>
            <w:tcW w:type="dxa" w:w="1272"/>
            <w:vAlign w:val="center"/>
            <w:shd w:val="clear" w:color="auto" w:fill="E8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평균</w:t>
            </w:r>
          </w:p>
        </w:tc>
        <w:tc>
          <w:tcPr>
            <w:tcW w:type="dxa" w:w="1272"/>
            <w:vAlign w:val="center"/>
            <w:shd w:val="clear" w:color="auto" w:fill="D4EDDA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+8.87</w:t>
            </w:r>
          </w:p>
        </w:tc>
        <w:tc>
          <w:tcPr>
            <w:tcW w:type="dxa" w:w="1272"/>
            <w:vAlign w:val="center"/>
            <w:shd w:val="clear" w:color="auto" w:fill="D4EDDA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+10.4%</w:t>
            </w:r>
          </w:p>
        </w:tc>
        <w:tc>
          <w:tcPr>
            <w:tcW w:type="dxa" w:w="1272"/>
            <w:vAlign w:val="center"/>
            <w:shd w:val="clear" w:color="auto" w:fill="F8D7DA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-8.87</w:t>
            </w:r>
          </w:p>
        </w:tc>
        <w:tc>
          <w:tcPr>
            <w:tcW w:type="dxa" w:w="1272"/>
            <w:vAlign w:val="center"/>
            <w:shd w:val="clear" w:color="auto" w:fill="F8D7DA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-8.8%</w:t>
            </w:r>
          </w:p>
        </w:tc>
        <w:tc>
          <w:tcPr>
            <w:tcW w:type="dxa" w:w="1272"/>
            <w:vAlign w:val="center"/>
            <w:shd w:val="clear" w:color="auto" w:fill="D4EDDA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+17.71</w:t>
            </w:r>
          </w:p>
        </w:tc>
        <w:tc>
          <w:tcPr>
            <w:tcW w:type="dxa" w:w="1272"/>
            <w:vAlign w:val="center"/>
            <w:shd w:val="clear" w:color="auto" w:fill="D4EDDA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+22.0%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240" w:after="100"/>
        <w:jc w:val="left"/>
      </w:pPr>
      <w:r>
        <w:rPr>
          <w:rFonts w:ascii="맑은 고딕" w:hAnsi="맑은 고딕" w:eastAsia="맑은 고딕"/>
          <w:b/>
          <w:i w:val="0"/>
          <w:color w:val="003875"/>
          <w:sz w:val="28"/>
        </w:rPr>
        <w:t>2. 전처리 및 분석</w:t>
      </w:r>
    </w:p>
    <w:p>
      <w:pPr>
        <w:pStyle w:val="Heading2"/>
        <w:spacing w:before="160" w:after="60"/>
        <w:jc w:val="left"/>
      </w:pPr>
      <w:r>
        <w:rPr>
          <w:rFonts w:ascii="맑은 고딕" w:hAnsi="맑은 고딕" w:eastAsia="맑은 고딕"/>
          <w:b/>
          <w:i w:val="0"/>
          <w:color w:val="1E64A0"/>
          <w:sz w:val="24"/>
        </w:rPr>
        <w:t>2.1 정상성 검정 (ADF)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726241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02_acf_pacf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7262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i/>
          <w:color w:val="646464"/>
          <w:sz w:val="18"/>
        </w:rPr>
        <w:t>[그림 2] ACF / PACF (1차 차분) — 6개 구, lag=30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ADF 검정: 원시 데이터에서 6개 구 모두 단위근 존재(비정상, p &gt; 0.05)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1차 차분 후 결과: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노원구: 비정상 (p = 0.2134)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은평구: 정상 (p &lt; 0.05)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서대문구: 비정상 (p = 0.1123)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서초구: 비정상 (p = 0.0579)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강남구: 비정상 (p = 0.0827)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송파구: 비정상 (p = 0.1248)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은평구만 1차 차분 후 정상 — 나머지 5개 구는 1차 차분으로 완전 정상화되지 않음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ARIMA는 d=1을 실용적 고정값으로 사용, NN은 차분 타겟 전략으로 비정상성을 우회</w:t>
      </w:r>
    </w:p>
    <w:p>
      <w:pPr>
        <w:pStyle w:val="Heading2"/>
        <w:spacing w:before="160" w:after="60"/>
        <w:jc w:val="left"/>
      </w:pPr>
      <w:r>
        <w:rPr>
          <w:rFonts w:ascii="맑은 고딕" w:hAnsi="맑은 고딕" w:eastAsia="맑은 고딕"/>
          <w:b/>
          <w:i w:val="0"/>
          <w:color w:val="1E64A0"/>
          <w:sz w:val="24"/>
        </w:rPr>
        <w:t>2.2 주기성 및 계절성 분석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282033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03_ff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20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i/>
          <w:color w:val="646464"/>
          <w:sz w:val="18"/>
        </w:rPr>
        <w:t>[그림 3] FFT 주기성 분석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FFT 분석 결과: 주요 주기 42~63주 — 연간 계절성(52주)보다 장기 사이클에 해당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계절 분해(seasonal_decompose) 결과: Seasonal 성분이 Trend 대비 극소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월별 히트맵: 같은 달이라도 연도마다 방향이 달라 반복 패턴 없음 — 계절성 부재 확인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결론: 아파트 주간 가격지수는 이사철 계절성보다 금리·정책 이벤트에 지배됨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특성 공학에 week/month 삼각함수 포함 — 탐색적 목적, 계절성 미약 시 모델이 자동으로 낮은 가중치 부여</w:t>
      </w:r>
    </w:p>
    <w:p>
      <w:pPr>
        <w:pStyle w:val="Heading2"/>
        <w:spacing w:before="160" w:after="60"/>
        <w:jc w:val="left"/>
      </w:pPr>
      <w:r>
        <w:rPr>
          <w:rFonts w:ascii="맑은 고딕" w:hAnsi="맑은 고딕" w:eastAsia="맑은 고딕"/>
          <w:b/>
          <w:i w:val="0"/>
          <w:color w:val="1E64A0"/>
          <w:sz w:val="24"/>
        </w:rPr>
        <w:t>2.3 지역 간 관계 및 선행-후행 분석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195247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s_05_lead_la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52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i/>
          <w:color w:val="646464"/>
          <w:sz w:val="18"/>
        </w:rPr>
        <w:t>[그림 4] 강남·서초 vs 노원 선행 효과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상관관계: 강남 3구 간 &gt; 외곽 3구 간 &gt; 강남-외곽 간 순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선행-후행: 강남·서초 lag=1(1주 선행)에서 노원과의 상관이 최고 — 강남 → 외곽 낙수 구조 확인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실용적 반영: 특성 공학에 gangnam_nowon_spread(강남-노원 스프레드), 교차 구 lag 특성 포함</w:t>
      </w:r>
    </w:p>
    <w:p>
      <w:pPr>
        <w:pStyle w:val="Heading2"/>
        <w:spacing w:before="160" w:after="60"/>
        <w:jc w:val="left"/>
      </w:pPr>
      <w:r>
        <w:rPr>
          <w:rFonts w:ascii="맑은 고딕" w:hAnsi="맑은 고딕" w:eastAsia="맑은 고딕"/>
          <w:b/>
          <w:i w:val="0"/>
          <w:color w:val="1E64A0"/>
          <w:sz w:val="24"/>
        </w:rPr>
        <w:t>2.4 충격반응분석 (VAR-IRF)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241726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s_07_irf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17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i/>
          <w:color w:val="646464"/>
          <w:sz w:val="18"/>
        </w:rPr>
        <w:t>[그림 5] VAR 충격반응함수(IRF) — 강남구 충격에 대한 6개 구 반응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VAR(벡터자기회귀) 모델: 6개 구 1차 차분 데이터, 최적 시차 7주(AIC 기준)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IRF 결과: 강남구 충격 시 외곽 3구는 1~2주 후 반응 시작, 약 6~8주에 걸쳐 흡수 → 0 수렴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SEQ_LEN 결정 근거로 활용: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VAR 최적 시차 7주 × 2 = 14주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IRF 흡수 기간 ~6~8주의 2배 = 12~16주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데이터 제약(시퀀스 수 100개 이상 유지) → SEQ_LEN = 16주 채택</w:t>
      </w:r>
    </w:p>
    <w:p>
      <w:pPr>
        <w:pStyle w:val="Heading2"/>
        <w:spacing w:before="160" w:after="60"/>
        <w:jc w:val="left"/>
      </w:pPr>
      <w:r>
        <w:rPr>
          <w:rFonts w:ascii="맑은 고딕" w:hAnsi="맑은 고딕" w:eastAsia="맑은 고딕"/>
          <w:b/>
          <w:i w:val="0"/>
          <w:color w:val="1E64A0"/>
          <w:sz w:val="24"/>
        </w:rPr>
        <w:t>2.5 특성 공학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입력 특성 총 164개 — 6개 구 × 각 특성 종류: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Lag: lag_1 ~ lag_16 (직전 16주)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Rolling: 평균·표준편차 (4·8·12주)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Diff: 1차·2차 차분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YoY: lag_52 (전년 동기)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Temporal: week_sin/cos, month_sin/cos, trend_idx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Cross: gangnam_nowon_spread, seoul_avg, seoul_avg_diff1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스케일러(MinMaxScaler): 훈련 데이터(70%)에만 fit — 미래 정보 유입 차단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타겟: 절대 지수가 아닌 누적 차분(Δ) 예측 — 훈련·테스트 분포 불일치 문제 해소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데이터 분할: 훈련 70%(121 시퀀스) / 검증 10%(20) / 테스트 20%(40)</w:t>
      </w:r>
    </w:p>
    <w:p>
      <w:r>
        <w:br w:type="page"/>
      </w:r>
    </w:p>
    <w:p>
      <w:pPr>
        <w:pStyle w:val="Heading1"/>
        <w:spacing w:before="240" w:after="100"/>
        <w:jc w:val="left"/>
      </w:pPr>
      <w:r>
        <w:rPr>
          <w:rFonts w:ascii="맑은 고딕" w:hAnsi="맑은 고딕" w:eastAsia="맑은 고딕"/>
          <w:b/>
          <w:i w:val="0"/>
          <w:color w:val="003875"/>
          <w:sz w:val="28"/>
        </w:rPr>
        <w:t>3. 학습 설계</w:t>
      </w:r>
    </w:p>
    <w:p>
      <w:pPr>
        <w:pStyle w:val="Heading2"/>
        <w:spacing w:before="160" w:after="60"/>
        <w:jc w:val="left"/>
      </w:pPr>
      <w:r>
        <w:rPr>
          <w:rFonts w:ascii="맑은 고딕" w:hAnsi="맑은 고딕" w:eastAsia="맑은 고딕"/>
          <w:b/>
          <w:i w:val="0"/>
          <w:color w:val="1E64A0"/>
          <w:sz w:val="24"/>
        </w:rPr>
        <w:t>3.1 모델 구성 및 하이퍼파라미터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기준 모델: ARIMA(p,1,q) — 구별 최적 차수 그리드 서치(AIC), walk-forward 공정 평가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딥러닝 3종: SimpleRNN / LSTM / GRU — PyTorch 구현, 6개 구 동시 출력(다중 타겟)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입력 투영 레이어 (Proj): 164차원 특성 → 32차원 압축 (Linear + LayerNorm + ReLU)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투영 효과: 상관된 lag 특성의 잡음 감소, 훈련 시퀀스 121개 대비 파라미터 과잉 방지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공통 하이퍼파라미터: proj=32, hidden=64, dropout=0.2, batch=16, epochs=150(early stop patience=20)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Optimizer: Adam (lr=1e-3, weight_decay=1e-5)  /  Scheduler: ReduceLROnPlateau(patience=5)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Gradient Clipping: max_norm=1.0 — 기울기 폭발 방지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80"/>
        <w:gridCol w:w="1780"/>
        <w:gridCol w:w="1780"/>
        <w:gridCol w:w="1780"/>
        <w:gridCol w:w="1780"/>
      </w:tblGrid>
      <w:tr>
        <w:tc>
          <w:tcPr>
            <w:tcW w:type="dxa" w:w="1780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모델</w:t>
            </w:r>
          </w:p>
        </w:tc>
        <w:tc>
          <w:tcPr>
            <w:tcW w:type="dxa" w:w="1780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구조</w:t>
            </w:r>
          </w:p>
        </w:tc>
        <w:tc>
          <w:tcPr>
            <w:tcW w:type="dxa" w:w="1780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레이어</w:t>
            </w:r>
          </w:p>
        </w:tc>
        <w:tc>
          <w:tcPr>
            <w:tcW w:type="dxa" w:w="1780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학습 파라미터</w:t>
            </w:r>
          </w:p>
        </w:tc>
        <w:tc>
          <w:tcPr>
            <w:tcW w:type="dxa" w:w="1780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ARIMA 차수(구별)</w:t>
            </w:r>
          </w:p>
        </w:tc>
      </w:tr>
      <w:tr>
        <w:tc>
          <w:tcPr>
            <w:tcW w:type="dxa" w:w="1780"/>
            <w:vAlign w:val="center"/>
            <w:shd w:val="clear" w:color="auto" w:fill="FFF9C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ARIMA</w:t>
            </w:r>
          </w:p>
        </w:tc>
        <w:tc>
          <w:tcPr>
            <w:tcW w:type="dxa" w:w="1780"/>
            <w:vAlign w:val="center"/>
            <w:shd w:val="clear" w:color="auto" w:fill="FFF9C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p·d·q 자기회귀</w:t>
            </w:r>
          </w:p>
        </w:tc>
        <w:tc>
          <w:tcPr>
            <w:tcW w:type="dxa" w:w="1780"/>
            <w:vAlign w:val="center"/>
            <w:shd w:val="clear" w:color="auto" w:fill="FFF9C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d=1 고정</w:t>
            </w:r>
          </w:p>
        </w:tc>
        <w:tc>
          <w:tcPr>
            <w:tcW w:type="dxa" w:w="1780"/>
            <w:vAlign w:val="center"/>
            <w:shd w:val="clear" w:color="auto" w:fill="FFF9C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평균 4개/구</w:t>
            </w:r>
          </w:p>
        </w:tc>
        <w:tc>
          <w:tcPr>
            <w:tcW w:type="dxa" w:w="1780"/>
            <w:vAlign w:val="center"/>
            <w:shd w:val="clear" w:color="auto" w:fill="FFF9C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노원구: [1, 1, 1] / 은평구: [3, 1, 3] / 서대문구: [1, 1, 1]</w:t>
              <w:br/>
              <w:t>서초구: [2, 1, 0] / 강남구: [2, 1, 1] / 송파구: [1, 1, 0]</w:t>
            </w:r>
          </w:p>
        </w:tc>
      </w:tr>
      <w:tr>
        <w:tc>
          <w:tcPr>
            <w:tcW w:type="dxa" w:w="1780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SimpleRNN</w:t>
            </w:r>
          </w:p>
        </w:tc>
        <w:tc>
          <w:tcPr>
            <w:tcW w:type="dxa" w:w="1780"/>
            <w:vAlign w:val="center"/>
            <w:shd w:val="clear" w:color="auto" w:fill="F0F4FF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Proj(164→32) → RNN → FC</w:t>
            </w:r>
          </w:p>
        </w:tc>
        <w:tc>
          <w:tcPr>
            <w:tcW w:type="dxa" w:w="1780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1층</w:t>
            </w:r>
          </w:p>
        </w:tc>
        <w:tc>
          <w:tcPr>
            <w:tcW w:type="dxa" w:w="1780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12,786</w:t>
            </w:r>
          </w:p>
        </w:tc>
        <w:tc>
          <w:tcPr>
            <w:tcW w:type="dxa" w:w="1780"/>
            <w:vAlign w:val="center"/>
            <w:shd w:val="clear" w:color="auto" w:fill="F0F4FF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—</w:t>
            </w:r>
          </w:p>
        </w:tc>
      </w:tr>
      <w:tr>
        <w:tc>
          <w:tcPr>
            <w:tcW w:type="dxa" w:w="1780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LSTM</w:t>
            </w:r>
          </w:p>
        </w:tc>
        <w:tc>
          <w:tcPr>
            <w:tcW w:type="dxa" w:w="1780"/>
            <w:vAlign w:val="center"/>
            <w:shd w:val="clear" w:color="auto" w:fill="FFFFFF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Proj(164→32) → LSTM → FC</w:t>
            </w:r>
          </w:p>
        </w:tc>
        <w:tc>
          <w:tcPr>
            <w:tcW w:type="dxa" w:w="1780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2층</w:t>
            </w:r>
          </w:p>
        </w:tc>
        <w:tc>
          <w:tcPr>
            <w:tcW w:type="dxa" w:w="1780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64,882</w:t>
            </w:r>
          </w:p>
        </w:tc>
        <w:tc>
          <w:tcPr>
            <w:tcW w:type="dxa" w:w="1780"/>
            <w:vAlign w:val="center"/>
            <w:shd w:val="clear" w:color="auto" w:fill="FFFFFF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—</w:t>
            </w:r>
          </w:p>
        </w:tc>
      </w:tr>
      <w:tr>
        <w:tc>
          <w:tcPr>
            <w:tcW w:type="dxa" w:w="1780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GRU</w:t>
            </w:r>
          </w:p>
        </w:tc>
        <w:tc>
          <w:tcPr>
            <w:tcW w:type="dxa" w:w="1780"/>
            <w:vAlign w:val="center"/>
            <w:shd w:val="clear" w:color="auto" w:fill="F0F4FF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Proj(164→32) → GRU → FC</w:t>
            </w:r>
          </w:p>
        </w:tc>
        <w:tc>
          <w:tcPr>
            <w:tcW w:type="dxa" w:w="1780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2층</w:t>
            </w:r>
          </w:p>
        </w:tc>
        <w:tc>
          <w:tcPr>
            <w:tcW w:type="dxa" w:w="1780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50,290</w:t>
            </w:r>
          </w:p>
        </w:tc>
        <w:tc>
          <w:tcPr>
            <w:tcW w:type="dxa" w:w="1780"/>
            <w:vAlign w:val="center"/>
            <w:shd w:val="clear" w:color="auto" w:fill="F0F4FF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—</w:t>
            </w:r>
          </w:p>
        </w:tc>
      </w:tr>
    </w:tbl>
    <w:p>
      <w:pPr>
        <w:spacing w:after="80"/>
      </w:pPr>
    </w:p>
    <w:p>
      <w:pPr>
        <w:pStyle w:val="Heading2"/>
        <w:spacing w:before="160" w:after="60"/>
        <w:jc w:val="left"/>
      </w:pPr>
      <w:r>
        <w:rPr>
          <w:rFonts w:ascii="맑은 고딕" w:hAnsi="맑은 고딕" w:eastAsia="맑은 고딕"/>
          <w:b/>
          <w:i w:val="0"/>
          <w:color w:val="1E64A0"/>
          <w:sz w:val="24"/>
        </w:rPr>
        <w:t>3.2 예측 설계 근거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예측 기간 3주: 과제 요구사항 — 목표일 2026-05-25 = 마지막 데이터 2026-05-04 + 3주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입력 길이 16주: 세 근거의 교집합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VAR 최적 시차 7주 × 2 = 14주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IRF 충격 흡수 기간 6~8주의 2배 = 12~16주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데이터 제약: SEQ_LEN &gt; 20 시 훈련 시퀀스 &lt; 100개로 과적합 위험 증가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출력 방식: 직접 다중 출력 — t+1·t+2·t+3 동시 예측, 오차 누적 방지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평가 방식: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ARIMA: 매 시점 실제값 갱신 후 1-step 예측 (롤링 단기예측)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딥러닝: 고정 입력 시퀀스로 t+1·t+2·t+3 동시 예측 (3-step 직접 다중 출력)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최종 모델 선택: RMSE 기준 전 모델 포함 최우수 → ARIMA 채택</w:t>
      </w:r>
    </w:p>
    <w:p>
      <w:pPr>
        <w:pStyle w:val="Heading2"/>
        <w:spacing w:before="160" w:after="60"/>
        <w:jc w:val="left"/>
      </w:pPr>
      <w:r>
        <w:rPr>
          <w:rFonts w:ascii="맑은 고딕" w:hAnsi="맑은 고딕" w:eastAsia="맑은 고딕"/>
          <w:b/>
          <w:i w:val="0"/>
          <w:color w:val="1E64A0"/>
          <w:sz w:val="24"/>
        </w:rPr>
        <w:t>3.3 평가 지표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RMSE: 주지표 — 극단 오차에 가중치, 모델 간 정렬 기준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MAE: 평균 절대 오차 — "평균 X포인트 틀렸다"로 직관적 해석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MAPE: 오차 비율(%) — 구별·모델별 크기 무관 비교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DA(방향정확도): 오를지/내릴지 방향 일치율 — 투자 신호 관점의 실용 지표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R²: 설명력 — 3개 horizon 별도 산출(H+1·H+2·H+3)하여 단계별 정확도 저하 확인</w:t>
      </w:r>
    </w:p>
    <w:p>
      <w:r>
        <w:br w:type="page"/>
      </w:r>
    </w:p>
    <w:p>
      <w:pPr>
        <w:pStyle w:val="Heading1"/>
        <w:spacing w:before="240" w:after="100"/>
        <w:jc w:val="left"/>
      </w:pPr>
      <w:r>
        <w:rPr>
          <w:rFonts w:ascii="맑은 고딕" w:hAnsi="맑은 고딕" w:eastAsia="맑은 고딕"/>
          <w:b/>
          <w:i w:val="0"/>
          <w:color w:val="003875"/>
          <w:sz w:val="28"/>
        </w:rPr>
        <w:t>4. 학습 결과</w:t>
      </w:r>
    </w:p>
    <w:p>
      <w:pPr>
        <w:pStyle w:val="Heading2"/>
        <w:spacing w:before="160" w:after="60"/>
        <w:jc w:val="left"/>
      </w:pPr>
      <w:r>
        <w:rPr>
          <w:rFonts w:ascii="맑은 고딕" w:hAnsi="맑은 고딕" w:eastAsia="맑은 고딕"/>
          <w:b/>
          <w:i w:val="0"/>
          <w:color w:val="1E64A0"/>
          <w:sz w:val="24"/>
        </w:rPr>
        <w:t>4.1 손실 곡선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150994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06_loss_curv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509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i/>
          <w:color w:val="646464"/>
          <w:sz w:val="18"/>
        </w:rPr>
        <w:t>[그림 6] 모델별 학습/검증 손실 곡선 (log scale)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LSTM·GRU: 검증 손실이 훈련 손실과 유사하게 수렴 — 과적합 없음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SimpleRNN: 검증 손실 변동폭 상대적으로 큼 — 표현력 한계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Early stopping이 epochs &lt; 150에서 발동 — 과적합 진입 전 학습 종료 확인</w:t>
      </w:r>
    </w:p>
    <w:p>
      <w:pPr>
        <w:pStyle w:val="Heading2"/>
        <w:spacing w:before="160" w:after="60"/>
        <w:jc w:val="left"/>
      </w:pPr>
      <w:r>
        <w:rPr>
          <w:rFonts w:ascii="맑은 고딕" w:hAnsi="맑은 고딕" w:eastAsia="맑은 고딕"/>
          <w:b/>
          <w:i w:val="0"/>
          <w:color w:val="1E64A0"/>
          <w:sz w:val="24"/>
        </w:rPr>
        <w:t>4.2 모델 종합 성능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203370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s_06_model_compar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0337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i/>
          <w:color w:val="646464"/>
          <w:sz w:val="18"/>
        </w:rPr>
        <w:t>[그림 7] 모델별 평균 RMSE·DA 비교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84"/>
        <w:gridCol w:w="1484"/>
        <w:gridCol w:w="1484"/>
        <w:gridCol w:w="1484"/>
        <w:gridCol w:w="1484"/>
        <w:gridCol w:w="1484"/>
      </w:tblGrid>
      <w:tr>
        <w:tc>
          <w:tcPr>
            <w:tcW w:type="dxa" w:w="1484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모델</w:t>
            </w:r>
          </w:p>
        </w:tc>
        <w:tc>
          <w:tcPr>
            <w:tcW w:type="dxa" w:w="1484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RMSE ↓</w:t>
            </w:r>
          </w:p>
        </w:tc>
        <w:tc>
          <w:tcPr>
            <w:tcW w:type="dxa" w:w="1484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MAE ↓</w:t>
            </w:r>
          </w:p>
        </w:tc>
        <w:tc>
          <w:tcPr>
            <w:tcW w:type="dxa" w:w="1484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MAPE ↓</w:t>
            </w:r>
          </w:p>
        </w:tc>
        <w:tc>
          <w:tcPr>
            <w:tcW w:type="dxa" w:w="1484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R² ↑</w:t>
            </w:r>
          </w:p>
        </w:tc>
        <w:tc>
          <w:tcPr>
            <w:tcW w:type="dxa" w:w="1484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DA(%) ↑</w:t>
            </w:r>
          </w:p>
        </w:tc>
      </w:tr>
      <w:tr>
        <w:tc>
          <w:tcPr>
            <w:tcW w:type="dxa" w:w="1484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[1위] ARIMA</w:t>
            </w:r>
          </w:p>
        </w:tc>
        <w:tc>
          <w:tcPr>
            <w:tcW w:type="dxa" w:w="1484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0.294</w:t>
            </w:r>
          </w:p>
        </w:tc>
        <w:tc>
          <w:tcPr>
            <w:tcW w:type="dxa" w:w="1484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0.198</w:t>
            </w:r>
          </w:p>
        </w:tc>
        <w:tc>
          <w:tcPr>
            <w:tcW w:type="dxa" w:w="1484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0.21%</w:t>
            </w:r>
          </w:p>
        </w:tc>
        <w:tc>
          <w:tcPr>
            <w:tcW w:type="dxa" w:w="1484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0.993</w:t>
            </w:r>
          </w:p>
        </w:tc>
        <w:tc>
          <w:tcPr>
            <w:tcW w:type="dxa" w:w="1484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98.5%</w:t>
            </w:r>
          </w:p>
        </w:tc>
      </w:tr>
      <w:tr>
        <w:tc>
          <w:tcPr>
            <w:tcW w:type="dxa" w:w="1484"/>
            <w:vAlign w:val="center"/>
            <w:shd w:val="clear" w:color="auto" w:fill="EBF3FB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[최우수NN] GRU</w:t>
            </w:r>
          </w:p>
        </w:tc>
        <w:tc>
          <w:tcPr>
            <w:tcW w:type="dxa" w:w="1484"/>
            <w:vAlign w:val="center"/>
            <w:shd w:val="clear" w:color="auto" w:fill="EBF3FB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0.463</w:t>
            </w:r>
          </w:p>
        </w:tc>
        <w:tc>
          <w:tcPr>
            <w:tcW w:type="dxa" w:w="1484"/>
            <w:vAlign w:val="center"/>
            <w:shd w:val="clear" w:color="auto" w:fill="EBF3FB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0.343</w:t>
            </w:r>
          </w:p>
        </w:tc>
        <w:tc>
          <w:tcPr>
            <w:tcW w:type="dxa" w:w="1484"/>
            <w:vAlign w:val="center"/>
            <w:shd w:val="clear" w:color="auto" w:fill="EBF3FB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0.35%</w:t>
            </w:r>
          </w:p>
        </w:tc>
        <w:tc>
          <w:tcPr>
            <w:tcW w:type="dxa" w:w="1484"/>
            <w:vAlign w:val="center"/>
            <w:shd w:val="clear" w:color="auto" w:fill="EBF3FB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0.975</w:t>
            </w:r>
          </w:p>
        </w:tc>
        <w:tc>
          <w:tcPr>
            <w:tcW w:type="dxa" w:w="1484"/>
            <w:vAlign w:val="center"/>
            <w:shd w:val="clear" w:color="auto" w:fill="EBF3FB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87.1%</w:t>
            </w:r>
          </w:p>
        </w:tc>
      </w:tr>
      <w:tr>
        <w:tc>
          <w:tcPr>
            <w:tcW w:type="dxa" w:w="1484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SimpleRNN</w:t>
            </w:r>
          </w:p>
        </w:tc>
        <w:tc>
          <w:tcPr>
            <w:tcW w:type="dxa" w:w="1484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0.486</w:t>
            </w:r>
          </w:p>
        </w:tc>
        <w:tc>
          <w:tcPr>
            <w:tcW w:type="dxa" w:w="1484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0.372</w:t>
            </w:r>
          </w:p>
        </w:tc>
        <w:tc>
          <w:tcPr>
            <w:tcW w:type="dxa" w:w="1484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0.38%</w:t>
            </w:r>
          </w:p>
        </w:tc>
        <w:tc>
          <w:tcPr>
            <w:tcW w:type="dxa" w:w="1484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0.967</w:t>
            </w:r>
          </w:p>
        </w:tc>
        <w:tc>
          <w:tcPr>
            <w:tcW w:type="dxa" w:w="1484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76.5%</w:t>
            </w:r>
          </w:p>
        </w:tc>
      </w:tr>
      <w:tr>
        <w:tc>
          <w:tcPr>
            <w:tcW w:type="dxa" w:w="1484"/>
            <w:vAlign w:val="center"/>
            <w:shd w:val="clear" w:color="auto" w:fill="F5F5F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LSTM</w:t>
            </w:r>
          </w:p>
        </w:tc>
        <w:tc>
          <w:tcPr>
            <w:tcW w:type="dxa" w:w="1484"/>
            <w:vAlign w:val="center"/>
            <w:shd w:val="clear" w:color="auto" w:fill="F5F5F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0.508</w:t>
            </w:r>
          </w:p>
        </w:tc>
        <w:tc>
          <w:tcPr>
            <w:tcW w:type="dxa" w:w="1484"/>
            <w:vAlign w:val="center"/>
            <w:shd w:val="clear" w:color="auto" w:fill="F5F5F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0.377</w:t>
            </w:r>
          </w:p>
        </w:tc>
        <w:tc>
          <w:tcPr>
            <w:tcW w:type="dxa" w:w="1484"/>
            <w:vAlign w:val="center"/>
            <w:shd w:val="clear" w:color="auto" w:fill="F5F5F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0.38%</w:t>
            </w:r>
          </w:p>
        </w:tc>
        <w:tc>
          <w:tcPr>
            <w:tcW w:type="dxa" w:w="1484"/>
            <w:vAlign w:val="center"/>
            <w:shd w:val="clear" w:color="auto" w:fill="F5F5F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0.964</w:t>
            </w:r>
          </w:p>
        </w:tc>
        <w:tc>
          <w:tcPr>
            <w:tcW w:type="dxa" w:w="1484"/>
            <w:vAlign w:val="center"/>
            <w:shd w:val="clear" w:color="auto" w:fill="F5F5F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67.5%</w:t>
            </w:r>
          </w:p>
        </w:tc>
      </w:tr>
    </w:tbl>
    <w:p>
      <w:pPr>
        <w:spacing w:after="80"/>
      </w:pP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★ ARIMA(walk-forward): RMSE 0.294, DA 98.5% — 전체 1위, 최종 채택 모델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참고 NN GRU: RMSE 0.463, DA 87.1%, R² 0.975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완만한 회복기(2025~2026)에서 ARIMA 우위 — 직전 실제값을 참조하는 롤링 구조가 이 구간 데이터에 적합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ARIMA 단변량 구조상 급격한 레짐 변화(정책·금리 충격) 시 즉각 대응 어려움 — 한계로 명시</w:t>
      </w:r>
    </w:p>
    <w:p>
      <w:pPr>
        <w:pStyle w:val="Heading2"/>
        <w:spacing w:before="160" w:after="60"/>
        <w:jc w:val="left"/>
      </w:pPr>
      <w:r>
        <w:rPr>
          <w:rFonts w:ascii="맑은 고딕" w:hAnsi="맑은 고딕" w:eastAsia="맑은 고딕"/>
          <w:b/>
          <w:i w:val="0"/>
          <w:color w:val="1E64A0"/>
          <w:sz w:val="24"/>
        </w:rPr>
        <w:t>4.3 지역별 RMSE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80"/>
        <w:gridCol w:w="1780"/>
        <w:gridCol w:w="1780"/>
        <w:gridCol w:w="1780"/>
        <w:gridCol w:w="1780"/>
      </w:tblGrid>
      <w:tr>
        <w:tc>
          <w:tcPr>
            <w:tcW w:type="dxa" w:w="1780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구</w:t>
            </w:r>
          </w:p>
        </w:tc>
        <w:tc>
          <w:tcPr>
            <w:tcW w:type="dxa" w:w="1780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ARIMA</w:t>
            </w:r>
          </w:p>
        </w:tc>
        <w:tc>
          <w:tcPr>
            <w:tcW w:type="dxa" w:w="1780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SimpleRNN</w:t>
            </w:r>
          </w:p>
        </w:tc>
        <w:tc>
          <w:tcPr>
            <w:tcW w:type="dxa" w:w="1780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LSTM</w:t>
            </w:r>
          </w:p>
        </w:tc>
        <w:tc>
          <w:tcPr>
            <w:tcW w:type="dxa" w:w="1780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GRU</w:t>
            </w:r>
          </w:p>
        </w:tc>
      </w:tr>
      <w:tr>
        <w:tc>
          <w:tcPr>
            <w:tcW w:type="dxa" w:w="1780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노원구</w:t>
            </w:r>
          </w:p>
        </w:tc>
        <w:tc>
          <w:tcPr>
            <w:tcW w:type="dxa" w:w="1780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0.204</w:t>
            </w:r>
          </w:p>
        </w:tc>
        <w:tc>
          <w:tcPr>
            <w:tcW w:type="dxa" w:w="1780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0.564</w:t>
            </w:r>
          </w:p>
        </w:tc>
        <w:tc>
          <w:tcPr>
            <w:tcW w:type="dxa" w:w="1780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0.626</w:t>
            </w:r>
          </w:p>
        </w:tc>
        <w:tc>
          <w:tcPr>
            <w:tcW w:type="dxa" w:w="1780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0.381</w:t>
            </w:r>
          </w:p>
        </w:tc>
      </w:tr>
      <w:tr>
        <w:tc>
          <w:tcPr>
            <w:tcW w:type="dxa" w:w="1780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은평구</w:t>
            </w:r>
          </w:p>
        </w:tc>
        <w:tc>
          <w:tcPr>
            <w:tcW w:type="dxa" w:w="1780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0.143</w:t>
            </w:r>
          </w:p>
        </w:tc>
        <w:tc>
          <w:tcPr>
            <w:tcW w:type="dxa" w:w="1780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0.400</w:t>
            </w:r>
          </w:p>
        </w:tc>
        <w:tc>
          <w:tcPr>
            <w:tcW w:type="dxa" w:w="1780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0.366</w:t>
            </w:r>
          </w:p>
        </w:tc>
        <w:tc>
          <w:tcPr>
            <w:tcW w:type="dxa" w:w="1780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0.307</w:t>
            </w:r>
          </w:p>
        </w:tc>
      </w:tr>
      <w:tr>
        <w:tc>
          <w:tcPr>
            <w:tcW w:type="dxa" w:w="1780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서대문구</w:t>
            </w:r>
          </w:p>
        </w:tc>
        <w:tc>
          <w:tcPr>
            <w:tcW w:type="dxa" w:w="1780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0.351</w:t>
            </w:r>
          </w:p>
        </w:tc>
        <w:tc>
          <w:tcPr>
            <w:tcW w:type="dxa" w:w="1780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0.649</w:t>
            </w:r>
          </w:p>
        </w:tc>
        <w:tc>
          <w:tcPr>
            <w:tcW w:type="dxa" w:w="1780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0.772</w:t>
            </w:r>
          </w:p>
        </w:tc>
        <w:tc>
          <w:tcPr>
            <w:tcW w:type="dxa" w:w="1780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0.728</w:t>
            </w:r>
          </w:p>
        </w:tc>
      </w:tr>
      <w:tr>
        <w:tc>
          <w:tcPr>
            <w:tcW w:type="dxa" w:w="1780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서초구</w:t>
            </w:r>
          </w:p>
        </w:tc>
        <w:tc>
          <w:tcPr>
            <w:tcW w:type="dxa" w:w="1780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0.261</w:t>
            </w:r>
          </w:p>
        </w:tc>
        <w:tc>
          <w:tcPr>
            <w:tcW w:type="dxa" w:w="1780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0.252</w:t>
            </w:r>
          </w:p>
        </w:tc>
        <w:tc>
          <w:tcPr>
            <w:tcW w:type="dxa" w:w="1780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0.297</w:t>
            </w:r>
          </w:p>
        </w:tc>
        <w:tc>
          <w:tcPr>
            <w:tcW w:type="dxa" w:w="1780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0.316</w:t>
            </w:r>
          </w:p>
        </w:tc>
      </w:tr>
      <w:tr>
        <w:tc>
          <w:tcPr>
            <w:tcW w:type="dxa" w:w="1780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강남구</w:t>
            </w:r>
          </w:p>
        </w:tc>
        <w:tc>
          <w:tcPr>
            <w:tcW w:type="dxa" w:w="1780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0.383</w:t>
            </w:r>
          </w:p>
        </w:tc>
        <w:tc>
          <w:tcPr>
            <w:tcW w:type="dxa" w:w="1780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0.431</w:t>
            </w:r>
          </w:p>
        </w:tc>
        <w:tc>
          <w:tcPr>
            <w:tcW w:type="dxa" w:w="1780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0.354</w:t>
            </w:r>
          </w:p>
        </w:tc>
        <w:tc>
          <w:tcPr>
            <w:tcW w:type="dxa" w:w="1780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0.346</w:t>
            </w:r>
          </w:p>
        </w:tc>
      </w:tr>
      <w:tr>
        <w:tc>
          <w:tcPr>
            <w:tcW w:type="dxa" w:w="1780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송파구</w:t>
            </w:r>
          </w:p>
        </w:tc>
        <w:tc>
          <w:tcPr>
            <w:tcW w:type="dxa" w:w="1780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0.421</w:t>
            </w:r>
          </w:p>
        </w:tc>
        <w:tc>
          <w:tcPr>
            <w:tcW w:type="dxa" w:w="1780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0.621</w:t>
            </w:r>
          </w:p>
        </w:tc>
        <w:tc>
          <w:tcPr>
            <w:tcW w:type="dxa" w:w="1780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0.633</w:t>
            </w:r>
          </w:p>
        </w:tc>
        <w:tc>
          <w:tcPr>
            <w:tcW w:type="dxa" w:w="1780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0.703</w:t>
            </w:r>
          </w:p>
        </w:tc>
      </w:tr>
    </w:tbl>
    <w:p>
      <w:pPr>
        <w:spacing w:after="80"/>
      </w:pPr>
    </w:p>
    <w:p>
      <w:pPr>
        <w:pStyle w:val="Heading2"/>
        <w:spacing w:before="160" w:after="60"/>
        <w:jc w:val="left"/>
      </w:pPr>
      <w:r>
        <w:rPr>
          <w:rFonts w:ascii="맑은 고딕" w:hAnsi="맑은 고딕" w:eastAsia="맑은 고딕"/>
          <w:b/>
          <w:i w:val="0"/>
          <w:color w:val="1E64A0"/>
          <w:sz w:val="24"/>
        </w:rPr>
        <w:t>4.4 예측 단계별 정확도 — GRU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H+1: 1주 후 / H+2: 2주 후 / H+3: 3주 후 — 각 horizon별 R²·RMSE 개별 산출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72"/>
        <w:gridCol w:w="1272"/>
        <w:gridCol w:w="1272"/>
        <w:gridCol w:w="1272"/>
        <w:gridCol w:w="1272"/>
        <w:gridCol w:w="1272"/>
        <w:gridCol w:w="1272"/>
      </w:tblGrid>
      <w:tr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구</w:t>
            </w:r>
          </w:p>
        </w:tc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R² H+1</w:t>
            </w:r>
          </w:p>
        </w:tc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R² H+2</w:t>
            </w:r>
          </w:p>
        </w:tc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R² H+3</w:t>
            </w:r>
          </w:p>
        </w:tc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RMSE H+1</w:t>
            </w:r>
          </w:p>
        </w:tc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RMSE H+2</w:t>
            </w:r>
          </w:p>
        </w:tc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RMSE H+3</w:t>
            </w:r>
          </w:p>
        </w:tc>
      </w:tr>
      <w:tr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노원구</w:t>
            </w:r>
          </w:p>
        </w:tc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0.991</w:t>
            </w:r>
          </w:p>
        </w:tc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0.964</w:t>
            </w:r>
          </w:p>
        </w:tc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0.958</w:t>
            </w:r>
          </w:p>
        </w:tc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0.203</w:t>
            </w:r>
          </w:p>
        </w:tc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0.417</w:t>
            </w:r>
          </w:p>
        </w:tc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0.469</w:t>
            </w:r>
          </w:p>
        </w:tc>
      </w:tr>
      <w:tr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은평구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0.987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0.974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0.944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0.185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0.275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0.416</w:t>
            </w:r>
          </w:p>
        </w:tc>
      </w:tr>
      <w:tr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서대문구</w:t>
            </w:r>
          </w:p>
        </w:tc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0.986</w:t>
            </w:r>
          </w:p>
        </w:tc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0.969</w:t>
            </w:r>
          </w:p>
        </w:tc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0.943</w:t>
            </w:r>
          </w:p>
        </w:tc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0.455</w:t>
            </w:r>
          </w:p>
        </w:tc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0.689</w:t>
            </w:r>
          </w:p>
        </w:tc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0.952</w:t>
            </w:r>
          </w:p>
        </w:tc>
      </w:tr>
      <w:tr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서초구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0.998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0.989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0.973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0.127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0.295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0.443</w:t>
            </w:r>
          </w:p>
        </w:tc>
      </w:tr>
      <w:tr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강남구</w:t>
            </w:r>
          </w:p>
        </w:tc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0.995</w:t>
            </w:r>
          </w:p>
        </w:tc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0.985</w:t>
            </w:r>
          </w:p>
        </w:tc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0.965</w:t>
            </w:r>
          </w:p>
        </w:tc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0.184</w:t>
            </w:r>
          </w:p>
        </w:tc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0.323</w:t>
            </w:r>
          </w:p>
        </w:tc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0.471</w:t>
            </w:r>
          </w:p>
        </w:tc>
      </w:tr>
      <w:tr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송파구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0.997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0.980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0.960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0.282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0.690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0.963</w:t>
            </w:r>
          </w:p>
        </w:tc>
      </w:tr>
      <w:tr>
        <w:tc>
          <w:tcPr>
            <w:tcW w:type="dxa" w:w="1272"/>
            <w:vAlign w:val="center"/>
            <w:shd w:val="clear" w:color="auto" w:fill="E8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평균</w:t>
            </w:r>
          </w:p>
        </w:tc>
        <w:tc>
          <w:tcPr>
            <w:tcW w:type="dxa" w:w="1272"/>
            <w:vAlign w:val="center"/>
            <w:shd w:val="clear" w:color="auto" w:fill="E8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0.992</w:t>
            </w:r>
          </w:p>
        </w:tc>
        <w:tc>
          <w:tcPr>
            <w:tcW w:type="dxa" w:w="1272"/>
            <w:vAlign w:val="center"/>
            <w:shd w:val="clear" w:color="auto" w:fill="E8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0.977</w:t>
            </w:r>
          </w:p>
        </w:tc>
        <w:tc>
          <w:tcPr>
            <w:tcW w:type="dxa" w:w="1272"/>
            <w:vAlign w:val="center"/>
            <w:shd w:val="clear" w:color="auto" w:fill="E8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0.957</w:t>
            </w:r>
          </w:p>
        </w:tc>
        <w:tc>
          <w:tcPr>
            <w:tcW w:type="dxa" w:w="1272"/>
            <w:vAlign w:val="center"/>
            <w:shd w:val="clear" w:color="auto" w:fill="E8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0.239</w:t>
            </w:r>
          </w:p>
        </w:tc>
        <w:tc>
          <w:tcPr>
            <w:tcW w:type="dxa" w:w="1272"/>
            <w:vAlign w:val="center"/>
            <w:shd w:val="clear" w:color="auto" w:fill="E8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0.448</w:t>
            </w:r>
          </w:p>
        </w:tc>
        <w:tc>
          <w:tcPr>
            <w:tcW w:type="dxa" w:w="1272"/>
            <w:vAlign w:val="center"/>
            <w:shd w:val="clear" w:color="auto" w:fill="E8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0.619</w:t>
            </w:r>
          </w:p>
        </w:tc>
      </w:tr>
    </w:tbl>
    <w:p>
      <w:pPr>
        <w:spacing w:after="80"/>
      </w:pP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H+1 → H+3 진행 시 R² 감소·RMSE 증가가 일반적 — 먼 미래일수록 불확실성 증가</w:t>
      </w:r>
    </w:p>
    <w:p>
      <w:pPr>
        <w:pStyle w:val="Heading2"/>
        <w:spacing w:before="160" w:after="60"/>
        <w:jc w:val="left"/>
      </w:pPr>
      <w:r>
        <w:rPr>
          <w:rFonts w:ascii="맑은 고딕" w:hAnsi="맑은 고딕" w:eastAsia="맑은 고딕"/>
          <w:b/>
          <w:i w:val="0"/>
          <w:color w:val="1E64A0"/>
          <w:sz w:val="24"/>
        </w:rPr>
        <w:t>4.5 최종 예측 결과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57839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07_final_GRU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578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i/>
          <w:color w:val="646464"/>
          <w:sz w:val="18"/>
        </w:rPr>
        <w:t>[그림 8] GRU 테스트 구간 예측 vs 실제 / 향후 3주 예측(★)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테스트셋: 모델 학습에 미사용 구간 — RMSE 0.463, MAPE 0.35%, DA 87.1%, R² 0.975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R² 0.975: 실제 가격 변동의 97.5%를 모델이 설명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DA 87.1%: 오를지/내릴지 방향을 87%확률로 정확 예측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향후 3주 예측 (채택 모델: ARIMA):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72"/>
        <w:gridCol w:w="1272"/>
        <w:gridCol w:w="1272"/>
        <w:gridCol w:w="1272"/>
        <w:gridCol w:w="1272"/>
        <w:gridCol w:w="1272"/>
        <w:gridCol w:w="1272"/>
      </w:tblGrid>
      <w:tr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예측일</w:t>
            </w:r>
          </w:p>
        </w:tc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노원구</w:t>
            </w:r>
          </w:p>
        </w:tc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은평구</w:t>
            </w:r>
          </w:p>
        </w:tc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서대문구</w:t>
            </w:r>
          </w:p>
        </w:tc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서초구</w:t>
            </w:r>
          </w:p>
        </w:tc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강남구</w:t>
            </w:r>
          </w:p>
        </w:tc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송파구</w:t>
            </w:r>
          </w:p>
        </w:tc>
      </w:tr>
      <w:tr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 xml:space="preserve">  2026-05-11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104.96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103.40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106.81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101.84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99.84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103.16</w:t>
            </w:r>
          </w:p>
        </w:tc>
      </w:tr>
      <w:tr>
        <w:tc>
          <w:tcPr>
            <w:tcW w:type="dxa" w:w="1272"/>
            <w:vAlign w:val="center"/>
            <w:shd w:val="clear" w:color="auto" w:fill="F5F5F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 xml:space="preserve">  2026-05-18</w:t>
            </w:r>
          </w:p>
        </w:tc>
        <w:tc>
          <w:tcPr>
            <w:tcW w:type="dxa" w:w="1272"/>
            <w:vAlign w:val="center"/>
            <w:shd w:val="clear" w:color="auto" w:fill="F5F5F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104.99</w:t>
            </w:r>
          </w:p>
        </w:tc>
        <w:tc>
          <w:tcPr>
            <w:tcW w:type="dxa" w:w="1272"/>
            <w:vAlign w:val="center"/>
            <w:shd w:val="clear" w:color="auto" w:fill="F5F5F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103.52</w:t>
            </w:r>
          </w:p>
        </w:tc>
        <w:tc>
          <w:tcPr>
            <w:tcW w:type="dxa" w:w="1272"/>
            <w:vAlign w:val="center"/>
            <w:shd w:val="clear" w:color="auto" w:fill="F5F5F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107.03</w:t>
            </w:r>
          </w:p>
        </w:tc>
        <w:tc>
          <w:tcPr>
            <w:tcW w:type="dxa" w:w="1272"/>
            <w:vAlign w:val="center"/>
            <w:shd w:val="clear" w:color="auto" w:fill="F5F5F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101.81</w:t>
            </w:r>
          </w:p>
        </w:tc>
        <w:tc>
          <w:tcPr>
            <w:tcW w:type="dxa" w:w="1272"/>
            <w:vAlign w:val="center"/>
            <w:shd w:val="clear" w:color="auto" w:fill="F5F5F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99.94</w:t>
            </w:r>
          </w:p>
        </w:tc>
        <w:tc>
          <w:tcPr>
            <w:tcW w:type="dxa" w:w="1272"/>
            <w:vAlign w:val="center"/>
            <w:shd w:val="clear" w:color="auto" w:fill="F5F5F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103.07</w:t>
            </w:r>
          </w:p>
        </w:tc>
      </w:tr>
      <w:tr>
        <w:tc>
          <w:tcPr>
            <w:tcW w:type="dxa" w:w="1272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★ 2026-05-25</w:t>
            </w:r>
          </w:p>
        </w:tc>
        <w:tc>
          <w:tcPr>
            <w:tcW w:type="dxa" w:w="1272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105.79</w:t>
            </w:r>
          </w:p>
        </w:tc>
        <w:tc>
          <w:tcPr>
            <w:tcW w:type="dxa" w:w="1272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104.02</w:t>
            </w:r>
          </w:p>
        </w:tc>
        <w:tc>
          <w:tcPr>
            <w:tcW w:type="dxa" w:w="1272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107.73</w:t>
            </w:r>
          </w:p>
        </w:tc>
        <w:tc>
          <w:tcPr>
            <w:tcW w:type="dxa" w:w="1272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101.73</w:t>
            </w:r>
          </w:p>
        </w:tc>
        <w:tc>
          <w:tcPr>
            <w:tcW w:type="dxa" w:w="1272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99.32</w:t>
            </w:r>
          </w:p>
        </w:tc>
        <w:tc>
          <w:tcPr>
            <w:tcW w:type="dxa" w:w="1272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103.19</w:t>
            </w:r>
          </w:p>
        </w:tc>
      </w:tr>
    </w:tbl>
    <w:p>
      <w:pPr>
        <w:spacing w:after="80"/>
      </w:pP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★ 2026-05-25: ARIMA 예측값 (RMSE 기준 최우수 채택) / 2026-05-11·18: GRU 추이 참고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ARIMA ★ vs GRU 2026-05-25 비교: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25"/>
        <w:gridCol w:w="2225"/>
        <w:gridCol w:w="2225"/>
        <w:gridCol w:w="2225"/>
      </w:tblGrid>
      <w:tr>
        <w:tc>
          <w:tcPr>
            <w:tcW w:type="dxa" w:w="2225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구</w:t>
            </w:r>
          </w:p>
        </w:tc>
        <w:tc>
          <w:tcPr>
            <w:tcW w:type="dxa" w:w="2225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ARIMA 예측 ★</w:t>
            </w:r>
          </w:p>
        </w:tc>
        <w:tc>
          <w:tcPr>
            <w:tcW w:type="dxa" w:w="2225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GRU 예측</w:t>
            </w:r>
          </w:p>
        </w:tc>
        <w:tc>
          <w:tcPr>
            <w:tcW w:type="dxa" w:w="2225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차이</w:t>
            </w:r>
          </w:p>
        </w:tc>
      </w:tr>
      <w:tr>
        <w:tc>
          <w:tcPr>
            <w:tcW w:type="dxa" w:w="2225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노원구</w:t>
            </w:r>
          </w:p>
        </w:tc>
        <w:tc>
          <w:tcPr>
            <w:tcW w:type="dxa" w:w="2225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105.79</w:t>
            </w:r>
          </w:p>
        </w:tc>
        <w:tc>
          <w:tcPr>
            <w:tcW w:type="dxa" w:w="2225"/>
            <w:vAlign w:val="center"/>
            <w:shd w:val="clear" w:color="auto" w:fill="FFF9C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105.20</w:t>
            </w:r>
          </w:p>
        </w:tc>
        <w:tc>
          <w:tcPr>
            <w:tcW w:type="dxa" w:w="2225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+0.59</w:t>
            </w:r>
          </w:p>
        </w:tc>
      </w:tr>
      <w:tr>
        <w:tc>
          <w:tcPr>
            <w:tcW w:type="dxa" w:w="2225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은평구</w:t>
            </w:r>
          </w:p>
        </w:tc>
        <w:tc>
          <w:tcPr>
            <w:tcW w:type="dxa" w:w="2225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104.02</w:t>
            </w:r>
          </w:p>
        </w:tc>
        <w:tc>
          <w:tcPr>
            <w:tcW w:type="dxa" w:w="2225"/>
            <w:vAlign w:val="center"/>
            <w:shd w:val="clear" w:color="auto" w:fill="FFF9C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103.54</w:t>
            </w:r>
          </w:p>
        </w:tc>
        <w:tc>
          <w:tcPr>
            <w:tcW w:type="dxa" w:w="2225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+0.48</w:t>
            </w:r>
          </w:p>
        </w:tc>
      </w:tr>
      <w:tr>
        <w:tc>
          <w:tcPr>
            <w:tcW w:type="dxa" w:w="2225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서대문구</w:t>
            </w:r>
          </w:p>
        </w:tc>
        <w:tc>
          <w:tcPr>
            <w:tcW w:type="dxa" w:w="2225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107.73</w:t>
            </w:r>
          </w:p>
        </w:tc>
        <w:tc>
          <w:tcPr>
            <w:tcW w:type="dxa" w:w="2225"/>
            <w:vAlign w:val="center"/>
            <w:shd w:val="clear" w:color="auto" w:fill="FFF9C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106.98</w:t>
            </w:r>
          </w:p>
        </w:tc>
        <w:tc>
          <w:tcPr>
            <w:tcW w:type="dxa" w:w="2225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+0.75</w:t>
            </w:r>
          </w:p>
        </w:tc>
      </w:tr>
      <w:tr>
        <w:tc>
          <w:tcPr>
            <w:tcW w:type="dxa" w:w="2225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서초구</w:t>
            </w:r>
          </w:p>
        </w:tc>
        <w:tc>
          <w:tcPr>
            <w:tcW w:type="dxa" w:w="2225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101.73</w:t>
            </w:r>
          </w:p>
        </w:tc>
        <w:tc>
          <w:tcPr>
            <w:tcW w:type="dxa" w:w="2225"/>
            <w:vAlign w:val="center"/>
            <w:shd w:val="clear" w:color="auto" w:fill="FFF9C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101.84</w:t>
            </w:r>
          </w:p>
        </w:tc>
        <w:tc>
          <w:tcPr>
            <w:tcW w:type="dxa" w:w="2225"/>
            <w:vAlign w:val="center"/>
            <w:shd w:val="clear" w:color="auto" w:fill="FF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-0.11</w:t>
            </w:r>
          </w:p>
        </w:tc>
      </w:tr>
      <w:tr>
        <w:tc>
          <w:tcPr>
            <w:tcW w:type="dxa" w:w="2225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강남구</w:t>
            </w:r>
          </w:p>
        </w:tc>
        <w:tc>
          <w:tcPr>
            <w:tcW w:type="dxa" w:w="2225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99.32</w:t>
            </w:r>
          </w:p>
        </w:tc>
        <w:tc>
          <w:tcPr>
            <w:tcW w:type="dxa" w:w="2225"/>
            <w:vAlign w:val="center"/>
            <w:shd w:val="clear" w:color="auto" w:fill="FFF9C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100.04</w:t>
            </w:r>
          </w:p>
        </w:tc>
        <w:tc>
          <w:tcPr>
            <w:tcW w:type="dxa" w:w="2225"/>
            <w:vAlign w:val="center"/>
            <w:shd w:val="clear" w:color="auto" w:fill="FF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-0.72</w:t>
            </w:r>
          </w:p>
        </w:tc>
      </w:tr>
      <w:tr>
        <w:tc>
          <w:tcPr>
            <w:tcW w:type="dxa" w:w="2225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송파구</w:t>
            </w:r>
          </w:p>
        </w:tc>
        <w:tc>
          <w:tcPr>
            <w:tcW w:type="dxa" w:w="2225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103.19</w:t>
            </w:r>
          </w:p>
        </w:tc>
        <w:tc>
          <w:tcPr>
            <w:tcW w:type="dxa" w:w="2225"/>
            <w:vAlign w:val="center"/>
            <w:shd w:val="clear" w:color="auto" w:fill="FFF9C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103.20</w:t>
            </w:r>
          </w:p>
        </w:tc>
        <w:tc>
          <w:tcPr>
            <w:tcW w:type="dxa" w:w="2225"/>
            <w:vAlign w:val="center"/>
            <w:shd w:val="clear" w:color="auto" w:fill="FF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-0.00</w:t>
            </w:r>
          </w:p>
        </w:tc>
      </w:tr>
      <w:tr>
        <w:tc>
          <w:tcPr>
            <w:tcW w:type="dxa" w:w="2225"/>
            <w:vAlign w:val="center"/>
            <w:shd w:val="clear" w:color="auto" w:fill="E8EAF6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평균</w:t>
            </w:r>
          </w:p>
        </w:tc>
        <w:tc>
          <w:tcPr>
            <w:tcW w:type="dxa" w:w="2225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103.63</w:t>
            </w:r>
          </w:p>
        </w:tc>
        <w:tc>
          <w:tcPr>
            <w:tcW w:type="dxa" w:w="2225"/>
            <w:vAlign w:val="center"/>
            <w:shd w:val="clear" w:color="auto" w:fill="FFF9C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103.47</w:t>
            </w:r>
          </w:p>
        </w:tc>
        <w:tc>
          <w:tcPr>
            <w:tcW w:type="dxa" w:w="2225"/>
            <w:vAlign w:val="center"/>
            <w:shd w:val="clear" w:color="auto" w:fill="E8EAF6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+0.16</w:t>
            </w:r>
          </w:p>
        </w:tc>
      </w:tr>
    </w:tbl>
    <w:p>
      <w:pPr>
        <w:spacing w:after="80"/>
      </w:pP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두 모델 6구 평균: ARIMA 103.63 / GRU 103.47 — 방향 일치로 예측 신뢰성 상호 보강</w:t>
      </w:r>
    </w:p>
    <w:p>
      <w:r>
        <w:br w:type="page"/>
      </w:r>
    </w:p>
    <w:p>
      <w:pPr>
        <w:pStyle w:val="Heading1"/>
        <w:spacing w:before="240" w:after="100"/>
        <w:jc w:val="left"/>
      </w:pPr>
      <w:r>
        <w:rPr>
          <w:rFonts w:ascii="맑은 고딕" w:hAnsi="맑은 고딕" w:eastAsia="맑은 고딕"/>
          <w:b/>
          <w:i w:val="0"/>
          <w:color w:val="003875"/>
          <w:sz w:val="28"/>
        </w:rPr>
        <w:t>5. 결론 및 제언</w:t>
      </w:r>
    </w:p>
    <w:p>
      <w:pPr>
        <w:pStyle w:val="Heading2"/>
        <w:spacing w:before="160" w:after="60"/>
        <w:jc w:val="left"/>
      </w:pPr>
      <w:r>
        <w:rPr>
          <w:rFonts w:ascii="맑은 고딕" w:hAnsi="맑은 고딕" w:eastAsia="맑은 고딕"/>
          <w:b/>
          <w:i w:val="0"/>
          <w:color w:val="1E64A0"/>
          <w:sz w:val="24"/>
        </w:rPr>
        <w:t>5.1 데이터 및 분석 결론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서울 아파트 주간 가격지수는 계절 주기성 없이 금리·정책 이벤트에 반응하는 시계열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COVID 급등기→금리인상 하락기→회복기 3국면이 모든 구에서 동시 출현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강남 3구가 외곽 3구보다 1주 앞서 방향 전환 — VAR-IRF로 통계 검증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충격 흡수 기간 약 6~8주 — 예측 모델 입력 길이(16주) 결정의 데이터 근거</w:t>
      </w:r>
    </w:p>
    <w:p>
      <w:pPr>
        <w:pStyle w:val="Heading2"/>
        <w:spacing w:before="160" w:after="60"/>
        <w:jc w:val="left"/>
      </w:pPr>
      <w:r>
        <w:rPr>
          <w:rFonts w:ascii="맑은 고딕" w:hAnsi="맑은 고딕" w:eastAsia="맑은 고딕"/>
          <w:b/>
          <w:i w:val="0"/>
          <w:color w:val="1E64A0"/>
          <w:sz w:val="24"/>
        </w:rPr>
        <w:t>5.2 모델 성능 결론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★ ARIMA(walk-forward): RMSE 0.294, DA 98.5% — 전 모델 최우수, 최종 채택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참고 NN GRU: RMSE 0.463, DA 87.1%, R² 0.975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ARIMA 채택 근거: RMSE 기준 전 모델 포함 최우수 — SimpleRNN·LSTM·GRU 대비 36~57% 낮은 오차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현 데이터 특성: 완만한 회복기(2025~2026) 기간으로 직전값 추종 전략에 유리한 환경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방법론: 차분 타겟 전략으로 훈련·테스트 분포 불일치 해소, MinMaxScaler는 훈련셋에만 적용</w:t>
      </w:r>
    </w:p>
    <w:p>
      <w:pPr>
        <w:pStyle w:val="Heading2"/>
        <w:spacing w:before="160" w:after="60"/>
        <w:jc w:val="left"/>
      </w:pPr>
      <w:r>
        <w:rPr>
          <w:rFonts w:ascii="맑은 고딕" w:hAnsi="맑은 고딕" w:eastAsia="맑은 고딕"/>
          <w:b/>
          <w:i w:val="0"/>
          <w:color w:val="1E64A0"/>
          <w:sz w:val="24"/>
        </w:rPr>
        <w:t>5.3 2026-05-25 예측 결과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채택 모델: ARIMA (RMSE 기준 전 모델 최우수)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노원구: 105.79  (GRU 참고: 105.20)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은평구: 104.02  (GRU 참고: 103.54)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서대문구: 107.73  (GRU 참고: 106.98)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서초구: 101.73  (GRU 참고: 101.84)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강남구: 99.32  (GRU 참고: 100.04)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송파구: 103.19  (GRU 참고: 103.20)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6구 평균: ARIMA 103.63 / GRU 103.47 — 두 모델 방향 일치로 예측 신뢰성 보강</w:t>
      </w:r>
    </w:p>
    <w:p>
      <w:pPr>
        <w:pStyle w:val="Heading2"/>
        <w:spacing w:before="160" w:after="60"/>
        <w:jc w:val="left"/>
      </w:pPr>
      <w:r>
        <w:rPr>
          <w:rFonts w:ascii="맑은 고딕" w:hAnsi="맑은 고딕" w:eastAsia="맑은 고딕"/>
          <w:b/>
          <w:i w:val="0"/>
          <w:color w:val="1E64A0"/>
          <w:sz w:val="24"/>
        </w:rPr>
        <w:t>5.4 한계 및 향후 제언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훈련 데이터 부족: 121개 시퀀스 — 동일 레짐(2021~) 기간 내 데이터 확장 시 성능 향상 기대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스케일러 범위 초과: 테스트 입력 일부가 훈련 구간 [0,1] 범위를 벗어남 — 훈련셋 기준 스케일링의 불가피한 결과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외부 변수 미포함: 금리·거래량·매수심리지수 등 추가 시 NN 차별화 여지 큼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장기 예측: 3주 초과 시 ARIMA 오차 급증 — NN의 구조적 패턴 유지 능력이 우위로 전환 예상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레짐 변화 대응: 금리 인상·정책 발표 등 급변 국면에서 ARIMA 즉시 성능 저하, NN은 상대적 강건성</w:t>
      </w:r>
    </w:p>
    <w:sectPr w:rsidR="00FC693F" w:rsidRPr="0006063C" w:rsidSect="00034616">
      <w:pgSz w:w="11906" w:h="16838"/>
      <w:pgMar w:top="1417" w:right="141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