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맑은 고딕" w:hAnsi="맑은 고딕" w:eastAsia="맑은 고딕"/>
          <w:b/>
          <w:i w:val="0"/>
          <w:color w:val="003875"/>
          <w:sz w:val="32"/>
        </w:rPr>
        <w:t>주간 아파트 매매가격지수 예측 모델</w:t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i/>
          <w:color w:val="646464"/>
          <w:sz w:val="20"/>
        </w:rPr>
        <w:t>KB Land 데이터 기반  |  서울 6개 구  |  2026년 5월 25일 예측</w:t>
      </w:r>
    </w:p>
    <w:p>
      <w:pPr>
        <w:pStyle w:val="Heading1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003875"/>
          <w:sz w:val="24"/>
        </w:rPr>
        <w:t>1. 데이터 및 탐색 분석</w:t>
      </w:r>
    </w:p>
    <w:p>
      <w:pPr>
        <w:pStyle w:val="Heading2"/>
        <w:spacing w:before="100" w:after="40"/>
        <w:jc w:val="left"/>
      </w:pPr>
      <w:r>
        <w:rPr>
          <w:rFonts w:ascii="맑은 고딕" w:hAnsi="맑은 고딕" w:eastAsia="맑은 고딕"/>
          <w:b/>
          <w:i w:val="0"/>
          <w:color w:val="1E64A0"/>
          <w:sz w:val="21"/>
        </w:rPr>
        <w:t>1.1 데이터 개요</w:t>
      </w:r>
    </w:p>
    <w:p>
      <w:pPr>
        <w:spacing w:after="40"/>
        <w:ind w:left="227" w:hanging="227"/>
      </w:pPr>
      <w:r>
        <w:rPr>
          <w:rFonts w:ascii="맑은 고딕" w:hAnsi="맑은 고딕" w:eastAsia="맑은 고딕"/>
          <w:b w:val="0"/>
          <w:i w:val="0"/>
          <w:sz w:val="21"/>
        </w:rPr>
        <w:t>·  출처: KB 부동산 데이터허브 — 주간 아파트 매매가격지수</w:t>
      </w:r>
    </w:p>
    <w:p>
      <w:pPr>
        <w:spacing w:after="40"/>
        <w:ind w:left="227" w:hanging="227"/>
      </w:pPr>
      <w:r>
        <w:rPr>
          <w:rFonts w:ascii="맑은 고딕" w:hAnsi="맑은 고딕" w:eastAsia="맑은 고딕"/>
          <w:b w:val="0"/>
          <w:i w:val="0"/>
          <w:sz w:val="21"/>
        </w:rPr>
        <w:t>·  기간: 2021-05-10 ~ 2026-05-04 (251주, 매주 월요일 기준)</w:t>
      </w:r>
    </w:p>
    <w:p>
      <w:pPr>
        <w:spacing w:after="40"/>
        <w:ind w:left="227" w:hanging="227"/>
      </w:pPr>
      <w:r>
        <w:rPr>
          <w:rFonts w:ascii="맑은 고딕" w:hAnsi="맑은 고딕" w:eastAsia="맑은 고딕"/>
          <w:b w:val="0"/>
          <w:i w:val="0"/>
          <w:sz w:val="21"/>
        </w:rPr>
        <w:t>·  대상: 서울 외곽 3구(노원·은평·서대문) + 강남 3구(서초·강남·송파)</w:t>
      </w:r>
    </w:p>
    <w:p>
      <w:pPr>
        <w:spacing w:after="40"/>
        <w:ind w:left="227" w:hanging="227"/>
      </w:pPr>
      <w:r>
        <w:rPr>
          <w:rFonts w:ascii="맑은 고딕" w:hAnsi="맑은 고딕" w:eastAsia="맑은 고딕"/>
          <w:b w:val="0"/>
          <w:i w:val="0"/>
          <w:sz w:val="21"/>
        </w:rPr>
        <w:t>·  지수 기준: 특정 기준 시점 = 100, 이후 상대 가격 변화를 주단위 추적</w:t>
      </w:r>
    </w:p>
    <w:p>
      <w:pPr>
        <w:spacing w:after="40"/>
        <w:ind w:left="227" w:hanging="227"/>
      </w:pPr>
      <w:r>
        <w:rPr>
          <w:rFonts w:ascii="맑은 고딕" w:hAnsi="맑은 고딕" w:eastAsia="맑은 고딕"/>
          <w:b w:val="0"/>
          <w:i w:val="0"/>
          <w:sz w:val="21"/>
        </w:rPr>
        <w:t>·  결측치: 없음</w:t>
      </w:r>
    </w:p>
    <w:p>
      <w:pPr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251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s_01_sto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251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맑은 고딕" w:hAnsi="맑은 고딕" w:eastAsia="맑은 고딕"/>
          <w:b w:val="0"/>
          <w:i/>
          <w:color w:val="646464"/>
          <w:sz w:val="18"/>
        </w:rPr>
        <w:t>[그림 1] 서울 6개 구 주간 아파트 매매가격지수 추이 (2021~2026) — 국면별 색상 구분</w:t>
      </w:r>
    </w:p>
    <w:p>
      <w:pPr>
        <w:spacing w:after="40"/>
        <w:ind w:left="227" w:hanging="227"/>
      </w:pPr>
      <w:r>
        <w:rPr>
          <w:rFonts w:ascii="맑은 고딕" w:hAnsi="맑은 고딕" w:eastAsia="맑은 고딕"/>
          <w:b w:val="0"/>
          <w:i w:val="0"/>
          <w:sz w:val="21"/>
        </w:rPr>
        <w:t>·  3개 국면 구분 (모델 학습 변수 아닌 탐색적 해석용)</w:t>
      </w:r>
    </w:p>
    <w:p>
      <w:pPr>
        <w:spacing w:after="40"/>
        <w:ind w:left="624" w:hanging="227"/>
      </w:pPr>
      <w:r>
        <w:rPr>
          <w:rFonts w:ascii="맑은 고딕" w:hAnsi="맑은 고딕" w:eastAsia="맑은 고딕"/>
          <w:b w:val="0"/>
          <w:i w:val="0"/>
          <w:sz w:val="19"/>
        </w:rPr>
        <w:t xml:space="preserve">  -  COVID 급등기: 6구 평균 누적 변화 +8.9p (+10.4%) — "같은 국면에서도 강남 3구와 외곽 3구 간 변화폭 차이 관찰됨"</w:t>
      </w:r>
    </w:p>
    <w:p>
      <w:pPr>
        <w:spacing w:after="40"/>
        <w:ind w:left="624" w:hanging="227"/>
      </w:pPr>
      <w:r>
        <w:rPr>
          <w:rFonts w:ascii="맑은 고딕" w:hAnsi="맑은 고딕" w:eastAsia="맑은 고딕"/>
          <w:b w:val="0"/>
          <w:i w:val="0"/>
          <w:sz w:val="19"/>
        </w:rPr>
        <w:t xml:space="preserve">  -  금리인상 하락기: 6구 평균 누적 변화 -8.9p (-8.8%) — "같은 국면에서도 강남 3구와 외곽 3구 간 변화폭 차이 관찰됨"</w:t>
      </w:r>
    </w:p>
    <w:p>
      <w:pPr>
        <w:spacing w:after="40"/>
        <w:ind w:left="624" w:hanging="227"/>
      </w:pPr>
      <w:r>
        <w:rPr>
          <w:rFonts w:ascii="맑은 고딕" w:hAnsi="맑은 고딕" w:eastAsia="맑은 고딕"/>
          <w:b w:val="0"/>
          <w:i w:val="0"/>
          <w:sz w:val="19"/>
        </w:rPr>
        <w:t xml:space="preserve">  -  회복기: 6구 평균 누적 변화 +17.7p (+22.0%) — "같은 국면에서도 강남 3구와 외곽 3구 간 변화폭 차이 관찰됨"</w:t>
      </w:r>
    </w:p>
    <w:p>
      <w:pPr>
        <w:pStyle w:val="Heading2"/>
        <w:spacing w:before="100" w:after="40"/>
        <w:jc w:val="left"/>
      </w:pPr>
      <w:r>
        <w:rPr>
          <w:rFonts w:ascii="맑은 고딕" w:hAnsi="맑은 고딕" w:eastAsia="맑은 고딕"/>
          <w:b/>
          <w:i w:val="0"/>
          <w:color w:val="1E64A0"/>
          <w:sz w:val="21"/>
        </w:rPr>
        <w:t>1.2 정상성 검정 및 주기성 분석</w:t>
      </w:r>
    </w:p>
    <w:p>
      <w:pPr>
        <w:spacing w:after="40"/>
        <w:ind w:left="227" w:hanging="227"/>
      </w:pPr>
      <w:r>
        <w:rPr>
          <w:rFonts w:ascii="맑은 고딕" w:hAnsi="맑은 고딕" w:eastAsia="맑은 고딕"/>
          <w:b w:val="0"/>
          <w:i w:val="0"/>
          <w:sz w:val="21"/>
        </w:rPr>
        <w:t>·  ADF 검정: 원시 지수 전 6구 단위근 존재(비정상, p &gt; 0.05)</w:t>
      </w:r>
    </w:p>
    <w:p>
      <w:pPr>
        <w:spacing w:after="40"/>
        <w:ind w:left="227" w:hanging="227"/>
      </w:pPr>
      <w:r>
        <w:rPr>
          <w:rFonts w:ascii="맑은 고딕" w:hAnsi="맑은 고딕" w:eastAsia="맑은 고딕"/>
          <w:b w:val="0"/>
          <w:i w:val="0"/>
          <w:sz w:val="21"/>
        </w:rPr>
        <w:t>·  1차 차분 후 결과: 은평구만 완전 정상화(p=0.003) — 나머지 5구는 미완전 정상화</w:t>
      </w:r>
    </w:p>
    <w:p>
      <w:pPr>
        <w:spacing w:after="40"/>
        <w:ind w:left="227" w:hanging="227"/>
      </w:pPr>
      <w:r>
        <w:rPr>
          <w:rFonts w:ascii="맑은 고딕" w:hAnsi="맑은 고딕" w:eastAsia="맑은 고딕"/>
          <w:b w:val="0"/>
          <w:i w:val="0"/>
          <w:sz w:val="21"/>
        </w:rPr>
        <w:t>·  추가 차분 시 과차분·정보 손실 위험 → d=1 고정(ARIMA) 또는 차분 타겟 전략(NN) 사용</w:t>
      </w:r>
    </w:p>
    <w:p>
      <w:pPr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6383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3_ff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383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맑은 고딕" w:hAnsi="맑은 고딕" w:eastAsia="맑은 고딕"/>
          <w:b w:val="0"/>
          <w:i/>
          <w:color w:val="646464"/>
          <w:sz w:val="18"/>
        </w:rPr>
        <w:t>[그림 2] FFT 주기성 분석 (트렌드 제거 후)</w:t>
      </w:r>
    </w:p>
    <w:p>
      <w:pPr>
        <w:spacing w:after="40"/>
        <w:ind w:left="227" w:hanging="227"/>
      </w:pPr>
      <w:r>
        <w:rPr>
          <w:rFonts w:ascii="맑은 고딕" w:hAnsi="맑은 고딕" w:eastAsia="맑은 고딕"/>
          <w:b w:val="0"/>
          <w:i w:val="0"/>
          <w:sz w:val="21"/>
        </w:rPr>
        <w:t>·  FFT 분석: 구별 주요 주기 42~63주 수준 — 연간 52주 계절성보다 장기 사이클에 해당</w:t>
      </w:r>
    </w:p>
    <w:p>
      <w:pPr>
        <w:spacing w:after="40"/>
        <w:ind w:left="227" w:hanging="227"/>
      </w:pPr>
      <w:r>
        <w:rPr>
          <w:rFonts w:ascii="맑은 고딕" w:hAnsi="맑은 고딕" w:eastAsia="맑은 고딕"/>
          <w:b w:val="0"/>
          <w:i w:val="0"/>
          <w:sz w:val="21"/>
        </w:rPr>
        <w:t>·  안정적인 반복 계절성은 뚜렷하지 않음 — 고정된 계절 패턴보다 거시적 국면 변화의 영향이 더 크게 나타난 것으로 해석됨</w:t>
      </w:r>
    </w:p>
    <w:p>
      <w:pPr>
        <w:pStyle w:val="Heading2"/>
        <w:spacing w:before="100" w:after="40"/>
        <w:jc w:val="left"/>
      </w:pPr>
      <w:r>
        <w:rPr>
          <w:rFonts w:ascii="맑은 고딕" w:hAnsi="맑은 고딕" w:eastAsia="맑은 고딕"/>
          <w:b/>
          <w:i w:val="0"/>
          <w:color w:val="1E64A0"/>
          <w:sz w:val="21"/>
        </w:rPr>
        <w:t>1.3 지역 간 관계 분석 (VAR-IRF)</w:t>
      </w:r>
    </w:p>
    <w:p>
      <w:pPr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2613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s_07_ir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26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맑은 고딕" w:hAnsi="맑은 고딕" w:eastAsia="맑은 고딕"/>
          <w:b w:val="0"/>
          <w:i/>
          <w:color w:val="646464"/>
          <w:sz w:val="18"/>
        </w:rPr>
        <w:t>[그림 3] VAR 충격반응함수 — 강남구 충격에 대한 6개 구 반응</w:t>
      </w:r>
    </w:p>
    <w:p>
      <w:pPr>
        <w:spacing w:after="40"/>
        <w:ind w:left="227" w:hanging="227"/>
      </w:pPr>
      <w:r>
        <w:rPr>
          <w:rFonts w:ascii="맑은 고딕" w:hAnsi="맑은 고딕" w:eastAsia="맑은 고딕"/>
          <w:b w:val="0"/>
          <w:i w:val="0"/>
          <w:sz w:val="21"/>
        </w:rPr>
        <w:t>·  VAR(1차 차분, 최적 시차 7주 AIC 기준) 충격반응 분석 결과</w:t>
      </w:r>
    </w:p>
    <w:p>
      <w:pPr>
        <w:spacing w:after="40"/>
        <w:ind w:left="227" w:hanging="227"/>
      </w:pPr>
      <w:r>
        <w:rPr>
          <w:rFonts w:ascii="맑은 고딕" w:hAnsi="맑은 고딕" w:eastAsia="맑은 고딕"/>
          <w:b w:val="0"/>
          <w:i w:val="0"/>
          <w:sz w:val="21"/>
        </w:rPr>
        <w:t>·  강남구 변화 충격 이후 외곽 3구가 일정 시차(1~2주)를 두고 반응하는 패턴이 관찰됨 — 보조적 근거로만 활용</w:t>
      </w:r>
    </w:p>
    <w:p>
      <w:pPr>
        <w:spacing w:after="40"/>
        <w:ind w:left="227" w:hanging="227"/>
      </w:pPr>
      <w:r>
        <w:rPr>
          <w:rFonts w:ascii="맑은 고딕" w:hAnsi="맑은 고딕" w:eastAsia="맑은 고딕"/>
          <w:b w:val="0"/>
          <w:i w:val="0"/>
          <w:sz w:val="21"/>
        </w:rPr>
        <w:t>·  외생 변수를 포함하지 않았으므로 인과 효과를 직접 추정한 것은 아님</w:t>
      </w:r>
    </w:p>
    <w:p>
      <w:pPr>
        <w:spacing w:after="40"/>
        <w:ind w:left="227" w:hanging="227"/>
      </w:pPr>
      <w:r>
        <w:rPr>
          <w:rFonts w:ascii="맑은 고딕" w:hAnsi="맑은 고딕" w:eastAsia="맑은 고딕"/>
          <w:b w:val="0"/>
          <w:i w:val="0"/>
          <w:sz w:val="21"/>
        </w:rPr>
        <w:t>·  IRF 충격 흡수 기간 ~6~8주 → SEQ_LEN 결정의 보조 근거 (VAR 시차 7주와 함께 16주 채택)</w:t>
      </w:r>
    </w:p>
    <w:p>
      <w:r>
        <w:br w:type="page"/>
      </w:r>
    </w:p>
    <w:p>
      <w:pPr>
        <w:pStyle w:val="Heading1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003875"/>
          <w:sz w:val="24"/>
        </w:rPr>
        <w:t>2. 모델 구성</w:t>
      </w:r>
    </w:p>
    <w:p>
      <w:pPr>
        <w:pStyle w:val="Heading2"/>
        <w:spacing w:before="100" w:after="40"/>
        <w:jc w:val="left"/>
      </w:pPr>
      <w:r>
        <w:rPr>
          <w:rFonts w:ascii="맑은 고딕" w:hAnsi="맑은 고딕" w:eastAsia="맑은 고딕"/>
          <w:b/>
          <w:i w:val="0"/>
          <w:color w:val="1E64A0"/>
          <w:sz w:val="21"/>
        </w:rPr>
        <w:t>2.1 ARIMA (기준 모델)</w:t>
      </w:r>
    </w:p>
    <w:p>
      <w:pPr>
        <w:spacing w:after="40"/>
        <w:ind w:left="227" w:hanging="227"/>
      </w:pPr>
      <w:r>
        <w:rPr>
          <w:rFonts w:ascii="맑은 고딕" w:hAnsi="맑은 고딕" w:eastAsia="맑은 고딕"/>
          <w:b w:val="0"/>
          <w:i w:val="0"/>
          <w:sz w:val="21"/>
        </w:rPr>
        <w:t>·  구별 단변량 ARIMA(p, 1, q) — 6개 구 각각 독립 모델</w:t>
      </w:r>
    </w:p>
    <w:p>
      <w:pPr>
        <w:spacing w:after="40"/>
        <w:ind w:left="227" w:hanging="227"/>
      </w:pPr>
      <w:r>
        <w:rPr>
          <w:rFonts w:ascii="맑은 고딕" w:hAnsi="맑은 고딕" w:eastAsia="맑은 고딕"/>
          <w:b w:val="0"/>
          <w:i w:val="0"/>
          <w:sz w:val="21"/>
        </w:rPr>
        <w:t>·  차수 선택: 훈련 데이터(70%)에서만 AIC 최소화 그리드 탐색 (p ∈ {0,1,2,3}, q ∈ {0,1,2,3})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</w:r>
          </w:p>
        </w:tc>
        <w:tc>
          <w:tcPr>
            <w:tcW w:type="dxa" w:w="1296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노원구</w:t>
            </w:r>
          </w:p>
        </w:tc>
        <w:tc>
          <w:tcPr>
            <w:tcW w:type="dxa" w:w="1296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은평구</w:t>
            </w:r>
          </w:p>
        </w:tc>
        <w:tc>
          <w:tcPr>
            <w:tcW w:type="dxa" w:w="1296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서대문구</w:t>
            </w:r>
          </w:p>
        </w:tc>
        <w:tc>
          <w:tcPr>
            <w:tcW w:type="dxa" w:w="1296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서초구</w:t>
            </w:r>
          </w:p>
        </w:tc>
        <w:tc>
          <w:tcPr>
            <w:tcW w:type="dxa" w:w="1296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강남구</w:t>
            </w:r>
          </w:p>
        </w:tc>
        <w:tc>
          <w:tcPr>
            <w:tcW w:type="dxa" w:w="1296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송파구</w:t>
            </w:r>
          </w:p>
        </w:tc>
      </w:tr>
      <w:tr>
        <w:tc>
          <w:tcPr>
            <w:tcW w:type="dxa" w:w="1296"/>
            <w:vAlign w:val="center"/>
            <w:shd w:val="clear" w:color="auto" w:fill="F5F5F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sz w:val="19"/>
              </w:rPr>
              <w:t>ARIMA 차수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(1, 1, 1)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(3, 1, 3)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(1, 1, 1)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(2, 1, 0)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(2, 1, 1)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(1, 1, 0)</w:t>
            </w:r>
          </w:p>
        </w:tc>
      </w:tr>
    </w:tbl>
    <w:p>
      <w:pPr>
        <w:spacing w:after="60"/>
      </w:pPr>
    </w:p>
    <w:p>
      <w:pPr>
        <w:spacing w:after="40"/>
        <w:ind w:left="227" w:hanging="227"/>
      </w:pPr>
      <w:r>
        <w:rPr>
          <w:rFonts w:ascii="맑은 고딕" w:hAnsi="맑은 고딕" w:eastAsia="맑은 고딕"/>
          <w:b w:val="0"/>
          <w:i w:val="0"/>
          <w:sz w:val="21"/>
        </w:rPr>
        <w:t>·  평가: walk-forward rolling — 매 테스트 시점에서 실제 이력으로 3-step 예측 후 H+3 값을 t+3 실측값과 비교</w:t>
      </w:r>
    </w:p>
    <w:p>
      <w:pPr>
        <w:spacing w:after="40"/>
        <w:ind w:left="227" w:hanging="227"/>
      </w:pPr>
      <w:r>
        <w:rPr>
          <w:rFonts w:ascii="맑은 고딕" w:hAnsi="맑은 고딕" w:eastAsia="맑은 고딕"/>
          <w:b w:val="0"/>
          <w:i w:val="0"/>
          <w:sz w:val="21"/>
        </w:rPr>
        <w:t>·  스케일러 없음, 미래 정보 유입 없음</w:t>
      </w:r>
    </w:p>
    <w:p>
      <w:pPr>
        <w:pStyle w:val="Heading2"/>
        <w:spacing w:before="100" w:after="40"/>
        <w:jc w:val="left"/>
      </w:pPr>
      <w:r>
        <w:rPr>
          <w:rFonts w:ascii="맑은 고딕" w:hAnsi="맑은 고딕" w:eastAsia="맑은 고딕"/>
          <w:b/>
          <w:i w:val="0"/>
          <w:color w:val="1E64A0"/>
          <w:sz w:val="21"/>
        </w:rPr>
        <w:t>2.2 딥러닝 모델 (SimpleRNN / LSTM / GRU)</w:t>
      </w:r>
    </w:p>
    <w:p>
      <w:pPr>
        <w:spacing w:after="40"/>
        <w:ind w:left="227" w:hanging="227"/>
      </w:pPr>
      <w:r>
        <w:rPr>
          <w:rFonts w:ascii="맑은 고딕" w:hAnsi="맑은 고딕" w:eastAsia="맑은 고딕"/>
          <w:b w:val="0"/>
          <w:i w:val="0"/>
          <w:sz w:val="21"/>
        </w:rPr>
        <w:t>·  입력: SEQ_LEN=16주 × 164개 특성 (lag·rolling·차분·YoY·시간·교차구)</w:t>
      </w:r>
    </w:p>
    <w:p>
      <w:pPr>
        <w:spacing w:after="40"/>
        <w:ind w:left="227" w:hanging="227"/>
      </w:pPr>
      <w:r>
        <w:rPr>
          <w:rFonts w:ascii="맑은 고딕" w:hAnsi="맑은 고딕" w:eastAsia="맑은 고딕"/>
          <w:b w:val="0"/>
          <w:i w:val="0"/>
          <w:sz w:val="21"/>
        </w:rPr>
        <w:t>·  입력 투영(Proj): 164 → 32차원 (LayerNorm + ReLU) — 고차원 상관 특성 잡음 감소</w:t>
      </w:r>
    </w:p>
    <w:p>
      <w:pPr>
        <w:spacing w:after="40"/>
        <w:ind w:left="227" w:hanging="227"/>
      </w:pPr>
      <w:r>
        <w:rPr>
          <w:rFonts w:ascii="맑은 고딕" w:hAnsi="맑은 고딕" w:eastAsia="맑은 고딕"/>
          <w:b w:val="0"/>
          <w:i w:val="0"/>
          <w:sz w:val="21"/>
        </w:rPr>
        <w:t>·  출력: H+1·H+2·H+3 동시 예측 (multi-step 직접 출력) — 평가 기준은 H+3</w:t>
      </w:r>
    </w:p>
    <w:p>
      <w:pPr>
        <w:spacing w:after="40"/>
        <w:ind w:left="227" w:hanging="227"/>
      </w:pPr>
      <w:r>
        <w:rPr>
          <w:rFonts w:ascii="맑은 고딕" w:hAnsi="맑은 고딕" w:eastAsia="맑은 고딕"/>
          <w:b w:val="0"/>
          <w:i w:val="0"/>
          <w:sz w:val="21"/>
        </w:rPr>
        <w:t>·  공통: hidden=64, dropout=0.2, batch=16, Adam(lr=1e-3), early stop patience=20</w:t>
      </w:r>
    </w:p>
    <w:p>
      <w:pPr>
        <w:spacing w:after="40"/>
        <w:ind w:left="227" w:hanging="227"/>
      </w:pPr>
      <w:r>
        <w:rPr>
          <w:rFonts w:ascii="맑은 고딕" w:hAnsi="맑은 고딕" w:eastAsia="맑은 고딕"/>
          <w:b w:val="0"/>
          <w:i w:val="0"/>
          <w:sz w:val="21"/>
        </w:rPr>
        <w:t>·  데이터 분할: 훈련 70%(121 시퀀스) / 검증 10%(20) / 테스트 20%(40)</w:t>
      </w:r>
    </w:p>
    <w:p>
      <w:pPr>
        <w:spacing w:after="40"/>
        <w:ind w:left="227" w:hanging="227"/>
      </w:pPr>
      <w:r>
        <w:rPr>
          <w:rFonts w:ascii="맑은 고딕" w:hAnsi="맑은 고딕" w:eastAsia="맑은 고딕"/>
          <w:b w:val="0"/>
          <w:i w:val="0"/>
          <w:sz w:val="21"/>
        </w:rPr>
        <w:t>·  스케일러: MinMaxScaler — 훈련 구간에만 fit, 검증·테스트에는 transform만 적용</w:t>
      </w:r>
    </w:p>
    <w:p>
      <w:pPr>
        <w:spacing w:after="40"/>
        <w:ind w:left="227" w:hanging="227"/>
      </w:pPr>
      <w:r>
        <w:rPr>
          <w:rFonts w:ascii="맑은 고딕" w:hAnsi="맑은 고딕" w:eastAsia="맑은 고딕"/>
          <w:b w:val="0"/>
          <w:i w:val="0"/>
          <w:sz w:val="21"/>
        </w:rPr>
        <w:t>·  타겟: 절대 지수가 아닌 누적 차분(Δ) 예측 → 훈련·테스트 분포 불일치 해소</w:t>
      </w:r>
    </w:p>
    <w:p>
      <w:pPr>
        <w:spacing w:after="40"/>
        <w:ind w:left="227" w:hanging="227"/>
      </w:pPr>
      <w:r>
        <w:rPr>
          <w:rFonts w:ascii="맑은 고딕" w:hAnsi="맑은 고딕" w:eastAsia="맑은 고딕"/>
          <w:b w:val="0"/>
          <w:i w:val="0"/>
          <w:sz w:val="21"/>
        </w:rPr>
        <w:t>·  테스트 기간: 2025-05-05 ~ 2026-05-04</w:t>
      </w:r>
    </w:p>
    <w:p>
      <w:pPr>
        <w:pStyle w:val="Heading1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003875"/>
          <w:sz w:val="24"/>
        </w:rPr>
        <w:t>3. H+3 평가 결과 및 최종 모델 선정</w:t>
      </w:r>
    </w:p>
    <w:p>
      <w:pPr>
        <w:pStyle w:val="Heading2"/>
        <w:spacing w:before="100" w:after="40"/>
        <w:jc w:val="left"/>
      </w:pPr>
      <w:r>
        <w:rPr>
          <w:rFonts w:ascii="맑은 고딕" w:hAnsi="맑은 고딕" w:eastAsia="맑은 고딕"/>
          <w:b/>
          <w:i w:val="0"/>
          <w:color w:val="1E64A0"/>
          <w:sz w:val="21"/>
        </w:rPr>
        <w:t>3.1 모델별 H+3 성능 비교</w:t>
      </w:r>
    </w:p>
    <w:p>
      <w:pPr>
        <w:spacing w:after="40"/>
        <w:ind w:left="227" w:hanging="227"/>
      </w:pPr>
      <w:r>
        <w:rPr>
          <w:rFonts w:ascii="맑은 고딕" w:hAnsi="맑은 고딕" w:eastAsia="맑은 고딕"/>
          <w:b w:val="0"/>
          <w:i w:val="0"/>
          <w:sz w:val="21"/>
        </w:rPr>
        <w:t>·  평가 기준: H+3(3주 후) 예측값 vs 실제값 — 전 모델 동일 기준 적용</w:t>
      </w:r>
    </w:p>
    <w:p>
      <w:pPr>
        <w:spacing w:after="40"/>
        <w:ind w:left="227" w:hanging="227"/>
      </w:pPr>
      <w:r>
        <w:rPr>
          <w:rFonts w:ascii="맑은 고딕" w:hAnsi="맑은 고딕" w:eastAsia="맑은 고딕"/>
          <w:b w:val="0"/>
          <w:i w:val="0"/>
          <w:sz w:val="21"/>
        </w:rPr>
        <w:t>·  H+3 RMSE를 주지표로 사용, H+3 MAE와 DA는 보조 지표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모델</w:t>
            </w:r>
          </w:p>
        </w:tc>
        <w:tc>
          <w:tcPr>
            <w:tcW w:type="dxa" w:w="2268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H+3 RMSE ↓</w:t>
            </w:r>
          </w:p>
        </w:tc>
        <w:tc>
          <w:tcPr>
            <w:tcW w:type="dxa" w:w="2268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H+3 MAE ↓</w:t>
            </w:r>
          </w:p>
        </w:tc>
        <w:tc>
          <w:tcPr>
            <w:tcW w:type="dxa" w:w="2268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H+3 DA(%) ↑</w:t>
            </w:r>
          </w:p>
        </w:tc>
      </w:tr>
      <w:tr>
        <w:tc>
          <w:tcPr>
            <w:tcW w:type="dxa" w:w="2268"/>
            <w:vAlign w:val="center"/>
            <w:shd w:val="clear" w:color="auto" w:fill="C8E6C9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sz w:val="19"/>
              </w:rPr>
              <w:t>★ ARIMA (채택)</w:t>
            </w:r>
          </w:p>
        </w:tc>
        <w:tc>
          <w:tcPr>
            <w:tcW w:type="dxa" w:w="2268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19"/>
              </w:rPr>
              <w:t>0.4092</w:t>
            </w:r>
          </w:p>
        </w:tc>
        <w:tc>
          <w:tcPr>
            <w:tcW w:type="dxa" w:w="2268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0.2984</w:t>
            </w:r>
          </w:p>
        </w:tc>
        <w:tc>
          <w:tcPr>
            <w:tcW w:type="dxa" w:w="2268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19"/>
              </w:rPr>
              <w:t>98.6%</w:t>
            </w:r>
          </w:p>
        </w:tc>
      </w:tr>
      <w:tr>
        <w:tc>
          <w:tcPr>
            <w:tcW w:type="dxa" w:w="2268"/>
            <w:vAlign w:val="center"/>
            <w:shd w:val="clear" w:color="auto" w:fill="F5F5F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SimpleRNN</w:t>
            </w:r>
          </w:p>
        </w:tc>
        <w:tc>
          <w:tcPr>
            <w:tcW w:type="dxa" w:w="2268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0.5911</w:t>
            </w:r>
          </w:p>
        </w:tc>
        <w:tc>
          <w:tcPr>
            <w:tcW w:type="dxa" w:w="2268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0.4664</w:t>
            </w:r>
          </w:p>
        </w:tc>
        <w:tc>
          <w:tcPr>
            <w:tcW w:type="dxa" w:w="2268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82.5%</w:t>
            </w:r>
          </w:p>
        </w:tc>
      </w:tr>
      <w:tr>
        <w:tc>
          <w:tcPr>
            <w:tcW w:type="dxa" w:w="2268"/>
            <w:vAlign w:val="center"/>
            <w:shd w:val="clear" w:color="auto" w:fill="FFFFFF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GRU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0.6190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0.4901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96.7%</w:t>
            </w:r>
          </w:p>
        </w:tc>
      </w:tr>
      <w:tr>
        <w:tc>
          <w:tcPr>
            <w:tcW w:type="dxa" w:w="2268"/>
            <w:vAlign w:val="center"/>
            <w:shd w:val="clear" w:color="auto" w:fill="F5F5F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LSTM</w:t>
            </w:r>
          </w:p>
        </w:tc>
        <w:tc>
          <w:tcPr>
            <w:tcW w:type="dxa" w:w="2268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0.6952</w:t>
            </w:r>
          </w:p>
        </w:tc>
        <w:tc>
          <w:tcPr>
            <w:tcW w:type="dxa" w:w="2268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0.5581</w:t>
            </w:r>
          </w:p>
        </w:tc>
        <w:tc>
          <w:tcPr>
            <w:tcW w:type="dxa" w:w="2268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66.2%</w:t>
            </w:r>
          </w:p>
        </w:tc>
      </w:tr>
    </w:tbl>
    <w:p>
      <w:pPr>
        <w:spacing w:after="60"/>
      </w:pPr>
    </w:p>
    <w:p>
      <w:pPr>
        <w:spacing w:after="120"/>
        <w:ind w:left="170" w:right="170"/>
        <w:shd w:val="clear" w:color="auto" w:fill="EBF3FB"/>
      </w:pPr>
      <w:r>
        <w:rPr>
          <w:rFonts w:ascii="맑은 고딕" w:hAnsi="맑은 고딕" w:eastAsia="맑은 고딕"/>
          <w:b/>
          <w:i w:val="0"/>
          <w:color w:val="0054A6"/>
          <w:sz w:val="21"/>
        </w:rPr>
        <w:t>최종 채택 모델: ARIMA — H+3 RMSE 0.4092으로 전 모델 최우수 / H+3 DA 98.6%</w:t>
      </w:r>
    </w:p>
    <w:p>
      <w:pPr>
        <w:spacing w:after="40"/>
        <w:ind w:left="227" w:hanging="227"/>
      </w:pPr>
      <w:r>
        <w:rPr>
          <w:rFonts w:ascii="맑은 고딕" w:hAnsi="맑은 고딕" w:eastAsia="맑은 고딕"/>
          <w:b w:val="0"/>
          <w:i w:val="0"/>
          <w:sz w:val="21"/>
        </w:rPr>
        <w:t>·  현재 데이터와 H+3 평가 기준에서 ARIMA가 가장 낮은 3주 후 예측 오차를 보임</w:t>
      </w:r>
    </w:p>
    <w:p>
      <w:pPr>
        <w:spacing w:after="40"/>
        <w:ind w:left="227" w:hanging="227"/>
      </w:pPr>
      <w:r>
        <w:rPr>
          <w:rFonts w:ascii="맑은 고딕" w:hAnsi="맑은 고딕" w:eastAsia="맑은 고딕"/>
          <w:b w:val="0"/>
          <w:i w:val="0"/>
          <w:sz w:val="21"/>
        </w:rPr>
        <w:t>·  회복 구간(2025~2026)의 완만하고 방향성이 명확한 흐름에서 직전값 추종 구조가 유리하게 작동</w:t>
      </w:r>
    </w:p>
    <w:p>
      <w:pPr>
        <w:spacing w:after="40"/>
        <w:ind w:left="227" w:hanging="227"/>
      </w:pPr>
      <w:r>
        <w:rPr>
          <w:rFonts w:ascii="맑은 고딕" w:hAnsi="맑은 고딕" w:eastAsia="맑은 고딕"/>
          <w:b w:val="0"/>
          <w:i w:val="0"/>
          <w:sz w:val="21"/>
        </w:rPr>
        <w:t>·  LSTM은 H+3 DA 66.2%로 방향 예측에서도 열위 — SimpleRNN이 NN 중 최우수</w:t>
      </w:r>
    </w:p>
    <w:p>
      <w:pPr>
        <w:pStyle w:val="Heading2"/>
        <w:spacing w:before="100" w:after="40"/>
        <w:jc w:val="left"/>
      </w:pPr>
      <w:r>
        <w:rPr>
          <w:rFonts w:ascii="맑은 고딕" w:hAnsi="맑은 고딕" w:eastAsia="맑은 고딕"/>
          <w:b/>
          <w:i w:val="0"/>
          <w:color w:val="1E64A0"/>
          <w:sz w:val="21"/>
        </w:rPr>
        <w:t>3.2 ARIMA 평가 방식 상세</w:t>
      </w:r>
    </w:p>
    <w:p>
      <w:pPr>
        <w:spacing w:after="40"/>
        <w:ind w:left="227" w:hanging="227"/>
      </w:pPr>
      <w:r>
        <w:rPr>
          <w:rFonts w:ascii="맑은 고딕" w:hAnsi="맑은 고딕" w:eastAsia="맑은 고딕"/>
          <w:b w:val="0"/>
          <w:i w:val="0"/>
          <w:sz w:val="21"/>
        </w:rPr>
        <w:t>·  매 테스트 시점 t에서 t까지의 전체 이력으로 ARIMA 재적합 후 t+1·t+2·t+3 예측</w:t>
      </w:r>
    </w:p>
    <w:p>
      <w:pPr>
        <w:spacing w:after="40"/>
        <w:ind w:left="227" w:hanging="227"/>
      </w:pPr>
      <w:r>
        <w:rPr>
          <w:rFonts w:ascii="맑은 고딕" w:hAnsi="맑은 고딕" w:eastAsia="맑은 고딕"/>
          <w:b w:val="0"/>
          <w:i w:val="0"/>
          <w:sz w:val="21"/>
        </w:rPr>
        <w:t>·  H+3 RMSE = √(Σ(ŷ_{t+3} − y_{t+3})² / n) — NN의 H+3 평가와 동일한 실측값 기준</w:t>
      </w:r>
    </w:p>
    <w:p>
      <w:pPr>
        <w:spacing w:after="40"/>
        <w:ind w:left="227" w:hanging="227"/>
      </w:pPr>
      <w:r>
        <w:rPr>
          <w:rFonts w:ascii="맑은 고딕" w:hAnsi="맑은 고딕" w:eastAsia="맑은 고딕"/>
          <w:b w:val="0"/>
          <w:i w:val="0"/>
          <w:sz w:val="21"/>
        </w:rPr>
        <w:t>·  기존 보고서의 ARIMA 1-step 합산 RMSE(0.294)와 다름 — 본 보고서는 H+3 단독 RMSE(0.409) 기준</w:t>
      </w:r>
    </w:p>
    <w:p>
      <w:pPr>
        <w:pStyle w:val="Heading1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003875"/>
          <w:sz w:val="24"/>
        </w:rPr>
        <w:t>4. 최종 예측 결과 (2026-05-25)</w:t>
      </w:r>
    </w:p>
    <w:p>
      <w:pPr>
        <w:spacing w:after="40"/>
        <w:ind w:left="227" w:hanging="227"/>
      </w:pPr>
      <w:r>
        <w:rPr>
          <w:rFonts w:ascii="맑은 고딕" w:hAnsi="맑은 고딕" w:eastAsia="맑은 고딕"/>
          <w:b w:val="0"/>
          <w:i w:val="0"/>
          <w:sz w:val="21"/>
        </w:rPr>
        <w:t>·  채택 모델: ARIMA — 전체 데이터 학습 후 3주 연속 예측 (walk-forward 방식)</w:t>
      </w:r>
    </w:p>
    <w:p>
      <w:pPr>
        <w:spacing w:after="40"/>
        <w:ind w:left="227" w:hanging="227"/>
      </w:pPr>
      <w:r>
        <w:rPr>
          <w:rFonts w:ascii="맑은 고딕" w:hAnsi="맑은 고딕" w:eastAsia="맑은 고딕"/>
          <w:b w:val="0"/>
          <w:i w:val="0"/>
          <w:sz w:val="21"/>
        </w:rPr>
        <w:t>·  예측 목표일: 마지막 관측일 2026-05-04 기준 3주 후 = 2026-05-25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예측일</w:t>
            </w:r>
          </w:p>
        </w:tc>
        <w:tc>
          <w:tcPr>
            <w:tcW w:type="dxa" w:w="1296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노원구</w:t>
            </w:r>
          </w:p>
        </w:tc>
        <w:tc>
          <w:tcPr>
            <w:tcW w:type="dxa" w:w="1296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은평구</w:t>
            </w:r>
          </w:p>
        </w:tc>
        <w:tc>
          <w:tcPr>
            <w:tcW w:type="dxa" w:w="1296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서대문구</w:t>
            </w:r>
          </w:p>
        </w:tc>
        <w:tc>
          <w:tcPr>
            <w:tcW w:type="dxa" w:w="1296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서초구</w:t>
            </w:r>
          </w:p>
        </w:tc>
        <w:tc>
          <w:tcPr>
            <w:tcW w:type="dxa" w:w="1296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강남구</w:t>
            </w:r>
          </w:p>
        </w:tc>
        <w:tc>
          <w:tcPr>
            <w:tcW w:type="dxa" w:w="1296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송파구</w:t>
            </w:r>
          </w:p>
        </w:tc>
      </w:tr>
      <w:tr>
        <w:tc>
          <w:tcPr>
            <w:tcW w:type="dxa" w:w="1296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 xml:space="preserve">  2026-05-11</w:t>
            </w:r>
          </w:p>
        </w:tc>
        <w:tc>
          <w:tcPr>
            <w:tcW w:type="dxa" w:w="1296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105.27</w:t>
            </w:r>
          </w:p>
        </w:tc>
        <w:tc>
          <w:tcPr>
            <w:tcW w:type="dxa" w:w="1296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103.66</w:t>
            </w:r>
          </w:p>
        </w:tc>
        <w:tc>
          <w:tcPr>
            <w:tcW w:type="dxa" w:w="1296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107.25</w:t>
            </w:r>
          </w:p>
        </w:tc>
        <w:tc>
          <w:tcPr>
            <w:tcW w:type="dxa" w:w="1296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101.65</w:t>
            </w:r>
          </w:p>
        </w:tc>
        <w:tc>
          <w:tcPr>
            <w:tcW w:type="dxa" w:w="1296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99.58</w:t>
            </w:r>
          </w:p>
        </w:tc>
        <w:tc>
          <w:tcPr>
            <w:tcW w:type="dxa" w:w="1296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103.08</w:t>
            </w:r>
          </w:p>
        </w:tc>
      </w:tr>
      <w:tr>
        <w:tc>
          <w:tcPr>
            <w:tcW w:type="dxa" w:w="1296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 xml:space="preserve">  2026-05-18</w:t>
            </w:r>
          </w:p>
        </w:tc>
        <w:tc>
          <w:tcPr>
            <w:tcW w:type="dxa" w:w="1296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105.53</w:t>
            </w:r>
          </w:p>
        </w:tc>
        <w:tc>
          <w:tcPr>
            <w:tcW w:type="dxa" w:w="1296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103.85</w:t>
            </w:r>
          </w:p>
        </w:tc>
        <w:tc>
          <w:tcPr>
            <w:tcW w:type="dxa" w:w="1296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107.49</w:t>
            </w:r>
          </w:p>
        </w:tc>
        <w:tc>
          <w:tcPr>
            <w:tcW w:type="dxa" w:w="1296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101.69</w:t>
            </w:r>
          </w:p>
        </w:tc>
        <w:tc>
          <w:tcPr>
            <w:tcW w:type="dxa" w:w="1296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99.44</w:t>
            </w:r>
          </w:p>
        </w:tc>
        <w:tc>
          <w:tcPr>
            <w:tcW w:type="dxa" w:w="1296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103.14</w:t>
            </w:r>
          </w:p>
        </w:tc>
      </w:tr>
      <w:tr>
        <w:tc>
          <w:tcPr>
            <w:tcW w:type="dxa" w:w="1296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19"/>
              </w:rPr>
              <w:t>★ 2026-05-25</w:t>
            </w:r>
          </w:p>
        </w:tc>
        <w:tc>
          <w:tcPr>
            <w:tcW w:type="dxa" w:w="1296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19"/>
              </w:rPr>
              <w:t>105.79</w:t>
            </w:r>
          </w:p>
        </w:tc>
        <w:tc>
          <w:tcPr>
            <w:tcW w:type="dxa" w:w="1296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19"/>
              </w:rPr>
              <w:t>104.02</w:t>
            </w:r>
          </w:p>
        </w:tc>
        <w:tc>
          <w:tcPr>
            <w:tcW w:type="dxa" w:w="1296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19"/>
              </w:rPr>
              <w:t>107.73</w:t>
            </w:r>
          </w:p>
        </w:tc>
        <w:tc>
          <w:tcPr>
            <w:tcW w:type="dxa" w:w="1296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19"/>
              </w:rPr>
              <w:t>101.73</w:t>
            </w:r>
          </w:p>
        </w:tc>
        <w:tc>
          <w:tcPr>
            <w:tcW w:type="dxa" w:w="1296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19"/>
              </w:rPr>
              <w:t>99.32</w:t>
            </w:r>
          </w:p>
        </w:tc>
        <w:tc>
          <w:tcPr>
            <w:tcW w:type="dxa" w:w="1296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19"/>
              </w:rPr>
              <w:t>103.19</w:t>
            </w:r>
          </w:p>
        </w:tc>
      </w:tr>
    </w:tbl>
    <w:p>
      <w:pPr>
        <w:spacing w:after="60"/>
      </w:pPr>
    </w:p>
    <w:p>
      <w:pPr>
        <w:spacing w:after="40"/>
        <w:ind w:left="227" w:hanging="227"/>
      </w:pPr>
      <w:r>
        <w:rPr>
          <w:rFonts w:ascii="맑은 고딕" w:hAnsi="맑은 고딕" w:eastAsia="맑은 고딕"/>
          <w:b w:val="0"/>
          <w:i w:val="0"/>
          <w:sz w:val="21"/>
        </w:rPr>
        <w:t>·  ★ 2026-05-25: 최종 예측 목표일 — ARIMA H+3 예측값</w:t>
      </w:r>
    </w:p>
    <w:p>
      <w:pPr>
        <w:spacing w:after="40"/>
        <w:ind w:left="227" w:hanging="227"/>
      </w:pPr>
      <w:r>
        <w:rPr>
          <w:rFonts w:ascii="맑은 고딕" w:hAnsi="맑은 고딕" w:eastAsia="맑은 고딕"/>
          <w:b w:val="0"/>
          <w:i w:val="0"/>
          <w:sz w:val="21"/>
        </w:rPr>
        <w:t>·  6구 평균 예측 지수: 103.63 — 최근 회복 추세 반영, 완만한 상승 기조 지속 가능성 시사</w:t>
      </w:r>
    </w:p>
    <w:p>
      <w:pPr>
        <w:pStyle w:val="Heading1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003875"/>
          <w:sz w:val="24"/>
        </w:rPr>
        <w:t>5. 한계 및 제언</w:t>
      </w:r>
    </w:p>
    <w:p>
      <w:pPr>
        <w:spacing w:after="40"/>
        <w:ind w:left="227" w:hanging="227"/>
      </w:pPr>
      <w:r>
        <w:rPr>
          <w:rFonts w:ascii="맑은 고딕" w:hAnsi="맑은 고딕" w:eastAsia="맑은 고딕"/>
          <w:b w:val="0"/>
          <w:i w:val="0"/>
          <w:sz w:val="21"/>
        </w:rPr>
        <w:t>·  훈련 데이터 부족: 251주(약 5년) — 레짐 변화를 충분히 학습하기 어려운 표본 규모</w:t>
      </w:r>
    </w:p>
    <w:p>
      <w:pPr>
        <w:spacing w:after="40"/>
        <w:ind w:left="227" w:hanging="227"/>
      </w:pPr>
      <w:r>
        <w:rPr>
          <w:rFonts w:ascii="맑은 고딕" w:hAnsi="맑은 고딕" w:eastAsia="맑은 고딕"/>
          <w:b w:val="0"/>
          <w:i w:val="0"/>
          <w:sz w:val="21"/>
        </w:rPr>
        <w:t>·  외생 변수 미포함: 금리·거래량·매수심리지수 등 추가 시 NN 모델의 차별화 가능성 있음</w:t>
      </w:r>
    </w:p>
    <w:p>
      <w:pPr>
        <w:spacing w:after="40"/>
        <w:ind w:left="227" w:hanging="227"/>
      </w:pPr>
      <w:r>
        <w:rPr>
          <w:rFonts w:ascii="맑은 고딕" w:hAnsi="맑은 고딕" w:eastAsia="맑은 고딕"/>
          <w:b w:val="0"/>
          <w:i w:val="0"/>
          <w:sz w:val="21"/>
        </w:rPr>
        <w:t>·  ARIMA 한계: 급격한 정책·금리 충격 국면에서 즉각 반응 어려움 — 회복 이후 평온 구간에 특히 유리</w:t>
      </w:r>
    </w:p>
    <w:p>
      <w:pPr>
        <w:spacing w:after="40"/>
        <w:ind w:left="227" w:hanging="227"/>
      </w:pPr>
      <w:r>
        <w:rPr>
          <w:rFonts w:ascii="맑은 고딕" w:hAnsi="맑은 고딕" w:eastAsia="맑은 고딕"/>
          <w:b w:val="0"/>
          <w:i w:val="0"/>
          <w:sz w:val="21"/>
        </w:rPr>
        <w:t>·  3주 초과 예측: 현 ARIMA 구조에서 오차 급증 예상 — 장기 예측 필요 시 NN 또는 외생 변수 도입 고려</w:t>
      </w:r>
    </w:p>
    <w:p>
      <w:pPr>
        <w:spacing w:after="40"/>
        <w:ind w:left="227" w:hanging="227"/>
      </w:pPr>
      <w:r>
        <w:rPr>
          <w:rFonts w:ascii="맑은 고딕" w:hAnsi="맑은 고딕" w:eastAsia="맑은 고딕"/>
          <w:b w:val="0"/>
          <w:i w:val="0"/>
          <w:sz w:val="21"/>
        </w:rPr>
        <w:t>·  일반적인 상황에서는 학습 데이터 확장 및 외생 변수 통합 시 NN 계열이 더 유리할 수 있음</w:t>
      </w:r>
    </w:p>
    <w:p>
      <w:r>
        <w:br w:type="page"/>
      </w:r>
    </w:p>
    <w:p>
      <w:pPr>
        <w:pStyle w:val="Heading1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003875"/>
          <w:sz w:val="24"/>
        </w:rPr>
        <w:t>참고문헌</w:t>
      </w:r>
    </w:p>
    <w:p>
      <w:pPr>
        <w:spacing w:after="80"/>
        <w:ind w:left="454" w:hanging="454"/>
      </w:pPr>
      <w:r>
        <w:rPr>
          <w:rFonts w:ascii="맑은 고딕" w:hAnsi="맑은 고딕" w:eastAsia="맑은 고딕"/>
          <w:b w:val="0"/>
          <w:i w:val="0"/>
          <w:sz w:val="19"/>
        </w:rPr>
        <w:t>[1] Box, G. E. P., Jenkins, G. M., Reinsel, G. C., &amp; Ljung, G. M. (2015). Time Series Analysis: Forecasting and Control (5th ed.). Wiley.</w:t>
      </w:r>
    </w:p>
    <w:p>
      <w:pPr>
        <w:spacing w:after="80"/>
        <w:ind w:left="454" w:hanging="454"/>
      </w:pPr>
      <w:r>
        <w:rPr>
          <w:rFonts w:ascii="맑은 고딕" w:hAnsi="맑은 고딕" w:eastAsia="맑은 고딕"/>
          <w:b w:val="0"/>
          <w:i w:val="0"/>
          <w:sz w:val="19"/>
        </w:rPr>
        <w:t>[2] Hochreiter, S., &amp; Schmidhuber, J. (1997). Long Short-Term Memory. Neural Computation, 9(8), 1735–1780.</w:t>
      </w:r>
    </w:p>
    <w:p>
      <w:pPr>
        <w:spacing w:after="80"/>
        <w:ind w:left="454" w:hanging="454"/>
      </w:pPr>
      <w:r>
        <w:rPr>
          <w:rFonts w:ascii="맑은 고딕" w:hAnsi="맑은 고딕" w:eastAsia="맑은 고딕"/>
          <w:b w:val="0"/>
          <w:i w:val="0"/>
          <w:sz w:val="19"/>
        </w:rPr>
        <w:t>[3] Cho, K., van Merrienboer, B., Gulcehre, C., Bahdanau, D., Bougares, F., Schwenk, H., &amp; Bengio, Y. (2014). Learning Phrase Representations using RNN Encoder-Decoder for Statistical Machine Translation. EMNLP 2014.</w:t>
      </w:r>
    </w:p>
    <w:p>
      <w:pPr>
        <w:spacing w:after="80"/>
        <w:ind w:left="454" w:hanging="454"/>
      </w:pPr>
      <w:r>
        <w:rPr>
          <w:rFonts w:ascii="맑은 고딕" w:hAnsi="맑은 고딕" w:eastAsia="맑은 고딕"/>
          <w:b w:val="0"/>
          <w:i w:val="0"/>
          <w:sz w:val="19"/>
        </w:rPr>
        <w:t>[4] Hyndman, R. J., &amp; Athanasopoulos, G. (2021). Forecasting: Principles and Practice (3rd ed.). OTexts. https://otexts.com/fpp3/</w:t>
      </w:r>
    </w:p>
    <w:p>
      <w:pPr>
        <w:spacing w:after="80"/>
        <w:ind w:left="454" w:hanging="454"/>
      </w:pPr>
      <w:r>
        <w:rPr>
          <w:rFonts w:ascii="맑은 고딕" w:hAnsi="맑은 고딕" w:eastAsia="맑은 고딕"/>
          <w:b w:val="0"/>
          <w:i w:val="0"/>
          <w:sz w:val="19"/>
        </w:rPr>
        <w:t>[5] Sims, C. A. (1980). Macroeconomics and Reality. Econometrica, 48(1), 1–48.</w:t>
      </w:r>
    </w:p>
    <w:p>
      <w:pPr>
        <w:spacing w:after="80"/>
        <w:ind w:left="454" w:hanging="454"/>
      </w:pPr>
      <w:r>
        <w:rPr>
          <w:rFonts w:ascii="맑은 고딕" w:hAnsi="맑은 고딕" w:eastAsia="맑은 고딕"/>
          <w:b w:val="0"/>
          <w:i w:val="0"/>
          <w:sz w:val="19"/>
        </w:rPr>
        <w:t>[6] KB 부동산 데이터허브. (2026). 주간 아파트 매매가격지수. https://data.kbland.kr/</w:t>
      </w:r>
    </w:p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