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 w:eastAsia="맑은 고딕"/>
          <w:b/>
          <w:i w:val="0"/>
          <w:color w:val="003875"/>
          <w:sz w:val="36"/>
        </w:rPr>
        <w:t>주간 아파트 매매가격지수 예측 모델</w:t>
      </w:r>
    </w:p>
    <w:p>
      <w:pPr>
        <w:spacing w:after="3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22"/>
        </w:rPr>
        <w:t>KB Land 데이터 기반  |  서울 6개 구  |  2026년 5월 25일 예측</w:t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1. 데이터 설명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출처: KB 부동산 데이터허브 — 주간 아파트 매매가격지수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기간: 2021.05.10 ~ 2026.05.04 (251주 / 매주 월요일 기준)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대상: 서울 외곽 3구(노원·은평·서대문) + 강남 3구(서초·강남·송파)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지수 기준: 특정 기준 시점 = 100, 상대 가격 변화를 주단위로 추적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과제 명세 기준: 2021.05.10 ~ 2026.05.04 (251주, 매주 월요일)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이벤트별 가격 변화량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이벤트 구분: ① COVID 급등기(2021.05~2022.06) / ② 금리인상 하락기(2022.07~2023.12) / ③ 회복기(2024.01~2026.05)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COVID 급등기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COVID 급등기</w:t>
              <w:br/>
              <w:t>변화율(%)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금리인상 하락기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금리인상 하락기</w:t>
              <w:br/>
              <w:t>변화율(%)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회복기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회복기</w:t>
              <w:br/>
              <w:t>변화율(%)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+12.05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+11.4%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-18.50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-15.8%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+6.08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+6.1%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+9.84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+10.2%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-10.47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-9.8%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+7.39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+7.7%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+6.67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+7.2%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-10.59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-10.7%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+18.75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+21.2%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+10.34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+14.0%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-4.87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-5.8%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+22.18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+27.9%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+7.04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+9.7%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-3.37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-4.2%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+23.43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+30.7%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+7.25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+10.0%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-5.41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-6.8%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+28.42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+38.1%</w:t>
            </w:r>
          </w:p>
        </w:tc>
      </w:tr>
      <w:tr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+8.87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+10.4%</w:t>
            </w:r>
          </w:p>
        </w:tc>
        <w:tc>
          <w:tcPr>
            <w:tcW w:type="dxa" w:w="1272"/>
            <w:vAlign w:val="center"/>
            <w:shd w:val="clear" w:color="auto" w:fill="F8D7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-8.87</w:t>
            </w:r>
          </w:p>
        </w:tc>
        <w:tc>
          <w:tcPr>
            <w:tcW w:type="dxa" w:w="1272"/>
            <w:vAlign w:val="center"/>
            <w:shd w:val="clear" w:color="auto" w:fill="F8D7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-8.8%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+17.71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+22.0%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2. 전처리 및 분석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2.1 정상성 검정 (ADF)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7262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acf_pac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1] ACF / PACF (1차 차분) — 6개 구, lag=30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ADF 검정: 원시 데이터에서 6개 구 모두 단위근 존재(비정상, p &gt; 0.05)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1차 차분 후 결과: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노원구: 비정상 (p = 0.2134)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은평구: 정상 (p &lt; 0.05)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서대문구: 비정상 (p = 0.1123)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서초구: 비정상 (p = 0.0579)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강남구: 비정상 (p = 0.0827)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송파구: 비정상 (p = 0.1248)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은평구만 1차 차분 후 정상 — 나머지 5개 구는 1차 차분으로 완전 정상화되지 않음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ARIMA는 d=1을 실용적 고정값으로 사용, NN은 차분 타겟 전략으로 비정상성을 우회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2.2 주기성 및 계절성 분석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203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ff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2] FFT 주기성 분석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FFT 분석 결과: 주요 주기 42~63주 — 연간 계절성(52주)보다 장기 사이클에 해당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계절 분해(seasonal_decompose) 결과: Seasonal 성분이 Trend 대비 극소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월별 히트맵: 같은 달이라도 연도마다 방향이 달라 반복 패턴 없음 — 계절성 부재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결론: 아파트 주간 가격지수는 이사철 계절성보다 금리·정책 이벤트에 지배됨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특성 공학에 week/month 삼각함수(4개) 포함 — 계절성 없음을 확인 후에도 탐색적으로 포함하되 모델이 학습 중 낮은 가중치 부여 시 실질 무효화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2.3 지역 간 관계 및 선행-후행 분석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524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5_lead_la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2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3] 강남·서초 vs 노원 선행 효과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상관관계: 강남 3구 간 &gt; 외곽 3구 간 &gt; 강남-외곽 간 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선행-후행: 강남·서초 lag=1(1주 선행)에서 노원과의 상관이 최고 — 강남 → 외곽 낙수 구조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실용적 반영: 특성 공학에 gangnam_nowon_spread(강남-노원 스프레드), 교차 구 lag 특성 포함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2.4 충격반응분석 (VAR-IRF)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172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7_ir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17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4] VAR 충격반응함수(IRF) — 강남구 충격에 대한 6개 구 반응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VAR(벡터자기회귀) 모델: 6개 구 1차 차분 데이터, 최적 시차 7주(AIC 기준)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IRF 결과: 강남구 충격 시 외곽 3구는 1~2주 후 반응 시작, 약 6~8주에 걸쳐 흡수 → 0 수렴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SEQ_LEN 결정 근거로 활용: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VAR 최적 시차 7주 × 2 = 14주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IRF 흡수 기간 ~6~8주의 2배 = 12~16주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데이터 제약(시퀀스 수 100개 이상 유지) → SEQ_LEN = 16주 채택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2.5 특성 공학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특성 총 164개 — 6개 구 × 각 특성 종류: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Lag: lag_1 ~ lag_16 (직전 16주)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Rolling: 평균·표준편차 (4·8·12주)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Diff: 1차·2차 차분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YoY: lag_52 (전년 동기)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Temporal: week_sin/cos, month_sin/cos, trend_idx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Cross: gangnam_nowon_spread, seoul_avg, seoul_avg_diff1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스케일러(MinMaxScaler): 훈련 데이터(70%)에만 fit — 미래 정보 유입 차단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타겟: 절대 지수가 아닌 누적 차분(Δ) 예측 — 훈련·테스트 분포 불일치 문제 해소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데이터 분할: 훈련 70%(121 시퀀스) / 검증 10%(20) / 테스트 20%(40)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3. 학습 설계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3.1 모델 구성 및 하이퍼파라미터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기준 모델: ARIMA(p,1,q) — 구별 최적 차수 그리드 서치(AIC), walk-forward 공정 평가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딥러닝 3종: SimpleRNN / LSTM / GRU — PyTorch 구현, 6개 구 동시 출력(다중 타겟)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투영 레이어 (Proj): 164차원 특성 → 32차원 압축 (Linear + LayerNorm + ReLU)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투영 효과: 상관된 lag 특성의 잡음 감소, 훈련 시퀀스 121개 대비 파라미터 과잉 방지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공통 하이퍼파라미터: proj=32, hidden=64, dropout=0.2, batch=16, epochs=150(early stop patience=20)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Optimizer: Adam (lr=1e-3, weight_decay=1e-5)  /  Scheduler: ReduceLROnPlateau(patience=5)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Gradient Clipping: max_norm=1.0 — 기울기 폭발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모델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구조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레이어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학습 파라미터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 차수(구별)</w:t>
            </w:r>
          </w:p>
        </w:tc>
      </w:tr>
      <w:tr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ARIMA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p·d·q 자기회귀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d=1 고정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평균 4개/구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노원구: [1, 1, 1] / 은평구: [3, 1, 3] / 서대문구: [1, 1, 1]</w:t>
              <w:br/>
              <w:t>서초구: [2, 1, 0] / 강남구: [2, 1, 1] / 송파구: [1, 1, 0]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SimpleRNN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RNN → FC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1층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12,786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LSTM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LSTM → FC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2층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64,882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GRU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GRU → FC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2층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50,290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3.2 예측 설계 근거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예측 기간 3주: 과제 요구사항 — 목표일 2026-05-25 = 마지막 데이터 2026-05-04 + 3주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길이 16주: 세 근거의 교집합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VAR 최적 시차 7주 × 2 = 14주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IRF 충격 흡수 기간 6~8주의 2배 = 12~16주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데이터 제약: SEQ_LEN &gt; 20 시 훈련 시퀀스 &lt; 100개로 과적합 위험 증가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출력 방식: 직접 다중 출력 — t+1·t+2·t+3 동시 예측, 오차 누적 방지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모델 선택 기준: RMSE 상위 10% 이내 후보 중 DA(방향정확도) 최대 모델 채택 — 단순 RMSE 최소화보다 방향 신뢰성 우선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3.3 평가 지표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RMSE: 주지표 — 극단 오차에 가중치, 모델 간 정렬 기준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MAE: 평균 절대 오차 — "평균 X포인트 틀렸다"로 직관적 해석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MAPE: 오차 비율(%) — 구별·모델별 크기 무관 비교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DA(방향정확도): 오를지/내릴지 방향 일치율 — 투자 신호 관점의 실용 지표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R²: 설명력 — 3개 horizon 별도 산출(H+1·H+2·H+3)하여 단계별 정확도 저하 확인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4. 학습 결과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4.1 손실 곡선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5099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loss_cur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0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5] 모델별 학습/검증 손실 곡선 (log scale)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LSTM·GRU: 검증 손실이 훈련 손실과 유사하게 수렴 — 과적합 없음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SimpleRNN: 검증 손실 변동폭 상대적으로 큼 — 표현력 한계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Early stopping이 epochs &lt; 150에서 발동 — 과적합 진입 전 학습 종료 확인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4.2 모델 종합 성능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03370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6_model_comp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33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6] 모델별 평균 RMSE·DA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84"/>
        <w:gridCol w:w="1484"/>
        <w:gridCol w:w="1484"/>
        <w:gridCol w:w="1484"/>
        <w:gridCol w:w="1484"/>
        <w:gridCol w:w="1484"/>
      </w:tblGrid>
      <w:tr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모델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MAE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MAPE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↑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DA(%) ↑</w:t>
            </w:r>
          </w:p>
        </w:tc>
      </w:tr>
      <w:tr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[1위] ARIMA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0.294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0.198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0.21%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0.993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98.5%</w:t>
            </w:r>
          </w:p>
        </w:tc>
      </w:tr>
      <w:tr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[최우수NN] GRU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0.463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0.343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0.35%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0.975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87.1%</w:t>
            </w:r>
          </w:p>
        </w:tc>
      </w:tr>
      <w:tr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SimpleRNN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0.486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0.372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0.38%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0.967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76.5%</w:t>
            </w:r>
          </w:p>
        </w:tc>
      </w:tr>
      <w:tr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LSTM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0.508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0.377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0.38%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0.964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67.5%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ARIMA(walk-forward): RMSE 0.294, DA 98.5% — 전체 RMSE 1위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최우수 NN GRU: RMSE 0.463,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완만한 회복기(2025~2026) 데이터에서 ARIMA 우위는 random-walk에 가까운 시계열 특성 반영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ARIMA는 매 스텝 직전 실제값을 닻으로 예측하나, 레짐 변화 시 즉시 성능 저하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평가 기간 차이: ARIMA ~52주 / NN ~40주 — 동일 기간 비교가 아님, RMSE 수치 해석 시 감안 필요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4.3 지역별 RMSE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SimpleRNN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LSTM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GRU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0.204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0.564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0.626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0.381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0.143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0.400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0.366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0.307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0.351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0.649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0.772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0.728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0.261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0.252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0.297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0.316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0.383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0.431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0.354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0.346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0.421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0.621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0.633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0.703</w:t>
            </w:r>
          </w:p>
        </w:tc>
      </w:tr>
    </w:tbl>
    <w:p>
      <w:pPr>
        <w:spacing w:after="80"/>
      </w:pP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4.4 예측 단계별 정확도 — GRU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H+1: 1주 후 / H+2: 2주 후 / H+3: 3주 후 — 각 horizon별 R²·RMSE 개별 산출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H+1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H+2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H+3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H+1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H+2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H+3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0.964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0.958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0.203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0.417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0.469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0.944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0.185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0.275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0.416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0.986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0.969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0.943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0.455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0.689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0.952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0.998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0.989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0.973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0.127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0.295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0.443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0.323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0.471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0.282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0.690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0.963</w:t>
            </w:r>
          </w:p>
        </w:tc>
      </w:tr>
      <w:tr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0.992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0.977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0.957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0.239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0.448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0.619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H+1 → H+3 진행 시 R² 감소·RMSE 증가가 일반적 — 먼 미래일수록 불확실성 증가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4.5 최종 예측 결과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78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final_GR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7] GRU 테스트 구간 예측 vs 실제 / 향후 3주 예측(★)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테스트셋: 모델 학습에 미사용 구간 — RMSE 0.463, MAPE 0.35%,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R² 0.975: 실제 가격 변동의 98%를 모델이 설명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DA 87.1%: 오를지/내릴지 방향을 87%확률로 정확 예측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향후 3주 예측 (최우수 모델: GRU):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예측일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송파구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 2026-05-11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104.96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103.40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106.81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99.84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103.16</w:t>
            </w:r>
          </w:p>
        </w:tc>
      </w:tr>
      <w:tr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 2026-05-18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104.99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103.52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107.03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101.81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99.94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103.07</w:t>
            </w:r>
          </w:p>
        </w:tc>
      </w:tr>
      <w:tr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★ 2026-05-25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105.20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103.54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106.98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101.84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100.04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103.20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vs GRU 2026-05-25 비교: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5"/>
        <w:gridCol w:w="2225"/>
        <w:gridCol w:w="2225"/>
        <w:gridCol w:w="2225"/>
      </w:tblGrid>
      <w:tr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 예측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GRU 예측 ★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차이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105.79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105.20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-0.59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104.02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103.54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-0.48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107.73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106.98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-0.75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101.73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101.84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+0.11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99.32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100.04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+0.72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103.19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103.20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+0.00</w:t>
            </w:r>
          </w:p>
        </w:tc>
      </w:tr>
      <w:tr>
        <w:tc>
          <w:tcPr>
            <w:tcW w:type="dxa" w:w="2225"/>
            <w:vAlign w:val="center"/>
            <w:shd w:val="clear" w:color="auto" w:fill="E8EAF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103.63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103.47</w:t>
            </w:r>
          </w:p>
        </w:tc>
        <w:tc>
          <w:tcPr>
            <w:tcW w:type="dxa" w:w="2225"/>
            <w:vAlign w:val="center"/>
            <w:shd w:val="clear" w:color="auto" w:fill="E8EAF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-0.16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두 모델 평균 차이: -0.16 — 방향 일치 여부가 예측 신뢰성의 핵심 기준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5. 결론 및 제언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5.1 데이터 및 분석 결론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서울 아파트 주간 가격지수는 계절 주기성 없이 금리·정책 이벤트에 반응하는 시계열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COVID 급등기→금리인상 하락기→회복기 3국면이 모든 구에서 동시 출현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강남 3구가 외곽 3구보다 1주 앞서 방향 전환 — VAR-IRF로 통계 검증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충격 흡수 기간 약 6~8주 — 예측 모델 입력 길이(16주) 결정의 데이터 근거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5.2 모델 성능 결론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ARIMA(walk-forward): RMSE 0.294, DA 98.5% — 이 테스트 기간 수치 1위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최우수 NN GRU: RMSE 0.463,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우위 이유: 완만한 회복기에서 직전값 닻(anchor) 전략이 random-walk 데이터에 최적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NN 강점: 6개 구 지역 간 관계 동시 학습, 비선형 패턴 포착, 레짐 변화 국면에서 강건성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방법론 기여: 차분 타겟 전략으로 훈련·테스트 분포 불일치 문제 해소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공정 비교: ARIMA도 NN과 동일한 walk-forward 방식으로 평가 — one-shot 장기예측 vs 롤링 단기예측 비교 오류 방지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5.3 2026-05-25 예측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사용 모델: GRU (RMSE·DA 복합 기준 최우수 NN)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노원구: GRU 105.20  /  ARIMA 105.79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은평구: GRU 103.54  /  ARIMA 104.02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서대문구: GRU 106.98  /  ARIMA 107.73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서초구: GRU 101.84  /  ARIMA 101.73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강남구: GRU 100.04  /  ARIMA 99.32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송파구: GRU 103.20  /  ARIMA 103.19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두 모델 6구 평균: GRU 103.47 / ARIMA 103.63 — 방향 일치로 신뢰성 상호 보강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5.4 한계 및 향후 제언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훈련 데이터 부족: 121개 시퀀스 — 동일 레짐(2021~) 기간 내 데이터 확장 시 성능 향상 기대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스케일러 범위 초과: 테스트 입력 일부가 [0,1] 범위 초과 — 훈련 데이터에만 fit하는 올바른 방법론의 불가피한 한계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외부 변수 미포함: 금리·거래량·매수심리지수 등 추가 시 NN 차별화 여지 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장기 예측: 3주 초과 시 ARIMA 오차 급증 — NN의 구조적 패턴 유지 능력이 우위로 전환 예상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레짐 변화 대응: 금리 인상·정책 발표 등 급변 국면에서 ARIMA 즉시 성능 저하, NN은 상대적 강건성</w:t>
      </w:r>
    </w:p>
    <w:sectPr w:rsidR="00FC693F" w:rsidRPr="0006063C" w:rsidSect="00034616">
      <w:pgSz w:w="11906" w:h="16838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