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232C6">
      <w:pPr>
        <w:pStyle w:val="4"/>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1 数据预处理与透水率变化规律分析</w:t>
      </w:r>
    </w:p>
    <w:p w14:paraId="3DEC9C3C">
      <w:pPr>
        <w:pStyle w:val="2"/>
        <w:keepNext w:val="0"/>
        <w:keepLines w:val="0"/>
        <w:widowControl/>
        <w:suppressLineNumbers w:val="0"/>
        <w:jc w:val="left"/>
        <w:rPr>
          <w:rFonts w:hint="eastAsia"/>
        </w:rPr>
      </w:pPr>
      <w:r>
        <w:rPr>
          <w:rFonts w:hint="eastAsia"/>
        </w:rPr>
        <w:t>1.1 数据预处理</w:t>
      </w:r>
    </w:p>
    <w:p w14:paraId="10ADA305">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附件 1 给出了 10 台过滤器在 2024 年 4 月至 2026 年 4 月期间的透水率检测数据，附件 2 给出了对应时期内的中维护和大维护记录。为保证后续分析结果的可靠性，本文首先对原始数据进行清洗与整合，将其统一整理为“设备编号—检测时间—透水率”的长表结构，并依据维护记录为各检测点匹配维护事件。</w:t>
      </w:r>
    </w:p>
    <w:p w14:paraId="3EDC09A9">
      <w:pPr>
        <w:pStyle w:val="4"/>
        <w:rPr>
          <w:rFonts w:hint="eastAsia" w:asciiTheme="minorHAnsi" w:hAnsiTheme="minorHAnsi" w:eastAsiaTheme="minorEastAsia" w:cstheme="minorBidi"/>
          <w:kern w:val="0"/>
          <w:sz w:val="24"/>
          <w:szCs w:val="24"/>
          <w:lang w:val="en-US" w:eastAsia="zh-CN" w:bidi="ar"/>
        </w:rPr>
      </w:pPr>
    </w:p>
    <w:p w14:paraId="3F8AF912">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在数据清洗过程中，本文主要进行了以下处理：</w:t>
      </w:r>
    </w:p>
    <w:p w14:paraId="23B99F80">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（1）统一时间字段格式，并按设备编号和时间升序排序；</w:t>
      </w:r>
    </w:p>
    <w:p w14:paraId="56E72347">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（2）删除透水率缺失记录；</w:t>
      </w:r>
    </w:p>
    <w:p w14:paraId="26C87C62">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（3）采用 IQR 方法对异常值进行识别，但考虑到维护行为会导致透水率出现真实跃升，因此仅对异常值进行记录与核查，不直接剔除，以避免将维护造成的真实波动误判为异常数据；</w:t>
      </w:r>
    </w:p>
    <w:p w14:paraId="3FF3C5F4">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（4）补充月份、季节等辅助字段，为后续周期性分析提供支持。</w:t>
      </w:r>
    </w:p>
    <w:p w14:paraId="5170774F">
      <w:pPr>
        <w:pStyle w:val="4"/>
      </w:pPr>
      <w:r>
        <w:drawing>
          <wp:inline distT="0" distB="0" distL="114300" distR="114300">
            <wp:extent cx="5459730" cy="1601470"/>
            <wp:effectExtent l="0" t="0" r="0" b="0"/>
            <wp:docPr id="5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3"/>
                    <pic:cNvPicPr>
                      <a:picLocks noChangeAspect="1"/>
                    </pic:cNvPicPr>
                  </pic:nvPicPr>
                  <pic:blipFill>
                    <a:blip r:embed="rId4"/>
                    <a:srcRect t="28184" b="23362"/>
                    <a:stretch>
                      <a:fillRect/>
                    </a:stretch>
                  </pic:blipFill>
                  <pic:spPr>
                    <a:xfrm>
                      <a:off x="0" y="0"/>
                      <a:ext cx="5459730" cy="1601470"/>
                    </a:xfrm>
                    <a:prstGeom prst="rect">
                      <a:avLst/>
                    </a:prstGeom>
                    <a:noFill/>
                    <a:ln>
                      <a:noFill/>
                    </a:ln>
                  </pic:spPr>
                </pic:pic>
              </a:graphicData>
            </a:graphic>
          </wp:inline>
        </w:drawing>
      </w:r>
    </w:p>
    <w:p w14:paraId="402ACBE2">
      <w:pPr>
        <w:pStyle w:val="3"/>
        <w:jc w:val="center"/>
        <w:rPr>
          <w:rFonts w:hint="eastAsia" w:eastAsiaTheme="minorEastAsia"/>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：数据清洗汇总表</w:t>
      </w:r>
    </w:p>
    <w:p w14:paraId="5E014126">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从清洗结果看，10 台设备均不存在重复时间记录和无效时间记录，缺失透水率经删除后，清洗后数据已不存在空缺项。例如，A1 设备原始记录数为 10839 条，其中缺失 457 条，清洗后保留 10382 条；A5 设备原始记录数为 12162 条，其中缺失 458 条，清洗后保留 11704 条。说明原始数据整体质量较高，能够支撑后续建模分析。</w:t>
      </w:r>
    </w:p>
    <w:p w14:paraId="606E4908">
      <w:pPr>
        <w:pStyle w:val="4"/>
        <w:rPr>
          <w:rFonts w:hint="eastAsia" w:asciiTheme="minorHAnsi" w:hAnsiTheme="minorHAnsi" w:eastAsiaTheme="minorEastAsia" w:cstheme="minorBidi"/>
          <w:kern w:val="0"/>
          <w:sz w:val="24"/>
          <w:szCs w:val="24"/>
          <w:lang w:val="en-US" w:eastAsia="zh-CN" w:bidi="ar"/>
        </w:rPr>
      </w:pPr>
    </w:p>
    <w:p w14:paraId="2A1EBF18">
      <w:pPr>
        <w:pStyle w:val="4"/>
        <w:rPr>
          <w:rFonts w:hint="eastAsia"/>
        </w:rPr>
      </w:pPr>
      <w:r>
        <w:rPr>
          <w:rFonts w:ascii="宋体" w:hAnsi="宋体" w:eastAsia="宋体" w:cs="宋体"/>
          <w:sz w:val="24"/>
          <w:szCs w:val="24"/>
        </w:rPr>
        <w:t>为避免异常波动对趋势分析产生干扰，后续将结合维护记录对时间序列进行区段划分，从而更准确地提取设备在维护间隔内的自然退化规律。</w:t>
      </w:r>
    </w:p>
    <w:p w14:paraId="3DF86570">
      <w:pPr>
        <w:pStyle w:val="4"/>
        <w:rPr>
          <w:rFonts w:hint="eastAsia"/>
        </w:rPr>
      </w:pPr>
    </w:p>
    <w:p w14:paraId="51E799EC">
      <w:pPr>
        <w:pStyle w:val="2"/>
        <w:keepNext w:val="0"/>
        <w:keepLines w:val="0"/>
        <w:widowControl/>
        <w:suppressLineNumbers w:val="0"/>
        <w:jc w:val="left"/>
        <w:rPr>
          <w:rFonts w:hint="eastAsia"/>
        </w:rPr>
      </w:pPr>
      <w:r>
        <w:rPr>
          <w:rFonts w:hint="eastAsia"/>
        </w:rPr>
        <w:t>1.2 长期退化趋势分析</w:t>
      </w:r>
    </w:p>
    <w:p w14:paraId="5FA2D796">
      <w:pPr>
        <w:pStyle w:val="4"/>
        <w:rPr>
          <w:rFonts w:hint="eastAsia"/>
        </w:rPr>
      </w:pPr>
    </w:p>
    <w:p w14:paraId="34587ACB">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过滤器在长期使用过程中会因污染物附着和材料老化而导致透水率下降，因此透水率的长期变化趋势可视为设备退化过程的外在表现。观察各设备透水率曲线可发现，透水率并非简单单调下降，而是在长期退化趋势上叠加了季节性波动和维护造成的短期跃升。为尽可能分离维护冲击对退化趋势的影响，本文不直接对全局时间序列进行线性拟合，而是按照维护事件将时间序列划分为多个维护间隔段，并在每个区段内部估计透水率变化斜率。</w:t>
      </w:r>
    </w:p>
    <w:p w14:paraId="569E8615">
      <w:pPr>
        <w:pStyle w:val="4"/>
        <w:rPr>
          <w:rFonts w:hint="eastAsia" w:asciiTheme="minorHAnsi" w:hAnsiTheme="minorHAnsi" w:eastAsiaTheme="minorEastAsia" w:cstheme="minorBidi"/>
          <w:kern w:val="0"/>
          <w:sz w:val="24"/>
          <w:szCs w:val="24"/>
          <w:lang w:val="en-US" w:eastAsia="zh-CN" w:bidi="ar"/>
        </w:rPr>
      </w:pPr>
    </w:p>
    <w:p w14:paraId="09F9E370">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 xml:space="preserve">设第 i 台设备在某一维护间隔段内的透水率为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P</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(t)</m:t>
        </m:r>
      </m:oMath>
      <w:r>
        <w:rPr>
          <w:rFonts w:hint="eastAsia" w:asciiTheme="minorHAnsi" w:hAnsiTheme="minorHAnsi" w:eastAsiaTheme="minorEastAsia" w:cstheme="minorBidi"/>
          <w:kern w:val="0"/>
          <w:sz w:val="24"/>
          <w:szCs w:val="24"/>
          <w:lang w:val="en-US" w:eastAsia="zh-CN" w:bidi="ar"/>
        </w:rPr>
        <w:t xml:space="preserve"> ，则区段内的线性退化模型可表示为：</w:t>
      </w:r>
    </w:p>
    <w:p w14:paraId="50D38748">
      <w:pPr>
        <w:pStyle w:val="4"/>
        <w:rPr>
          <w:rFonts w:hint="default" w:asciiTheme="minorHAnsi" w:hAnsiTheme="minorHAnsi" w:eastAsiaTheme="minorEastAsia" w:cstheme="minorBidi"/>
          <w:kern w:val="0"/>
          <w:sz w:val="24"/>
          <w:szCs w:val="24"/>
          <w:lang w:val="en-US" w:eastAsia="zh-CN" w:bidi="ar"/>
        </w:rPr>
      </w:pPr>
      <m:oMathPara>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P</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a</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b</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ε</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(t)</m:t>
          </m:r>
        </m:oMath>
      </m:oMathPara>
    </w:p>
    <w:p w14:paraId="365F0D9C">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其中，</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a</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oMath>
      <w:r>
        <w:rPr>
          <w:rFonts w:hint="eastAsia" w:asciiTheme="minorHAnsi" w:hAnsiTheme="minorHAnsi" w:eastAsiaTheme="minorEastAsia" w:cstheme="minorBidi"/>
          <w:kern w:val="0"/>
          <w:sz w:val="24"/>
          <w:szCs w:val="24"/>
          <w:lang w:val="en-US" w:eastAsia="zh-CN" w:bidi="ar"/>
        </w:rPr>
        <w:t>为该区段初始透水率水平，</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b</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oMath>
      <w:r>
        <w:rPr>
          <w:rFonts w:hint="eastAsia" w:asciiTheme="minorHAnsi" w:hAnsiTheme="minorHAnsi" w:eastAsiaTheme="minorEastAsia" w:cstheme="minorBidi"/>
          <w:kern w:val="0"/>
          <w:sz w:val="24"/>
          <w:szCs w:val="24"/>
          <w:lang w:val="en-US" w:eastAsia="zh-CN" w:bidi="ar"/>
        </w:rPr>
        <w:t>为区段下降速率，</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ε</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(t)</m:t>
        </m:r>
      </m:oMath>
      <w:r>
        <w:rPr>
          <w:rFonts w:hint="eastAsia" w:asciiTheme="minorHAnsi" w:hAnsiTheme="minorHAnsi" w:eastAsiaTheme="minorEastAsia" w:cstheme="minorBidi"/>
          <w:kern w:val="0"/>
          <w:sz w:val="24"/>
          <w:szCs w:val="24"/>
          <w:lang w:val="en-US" w:eastAsia="zh-CN" w:bidi="ar"/>
        </w:rPr>
        <w:t xml:space="preserve">为随机扰动项。当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b</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&lt;0</m:t>
        </m:r>
      </m:oMath>
      <w:r>
        <w:rPr>
          <w:rFonts w:hint="eastAsia" w:asciiTheme="minorHAnsi" w:hAnsiTheme="minorHAnsi" w:eastAsiaTheme="minorEastAsia" w:cstheme="minorBidi"/>
          <w:kern w:val="0"/>
          <w:sz w:val="24"/>
          <w:szCs w:val="24"/>
          <w:lang w:val="en-US" w:eastAsia="zh-CN" w:bidi="ar"/>
        </w:rPr>
        <w:t>时，表示透水率随时间下降；</w:t>
      </w:r>
      <m:oMath>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b</m:t>
            </m:r>
            <m:ctrlPr>
              <w:rPr>
                <w:rFonts w:hint="eastAsia"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hint="eastAsia"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oMath>
      <w:r>
        <w:rPr>
          <w:rFonts w:hint="eastAsia" w:asciiTheme="minorHAnsi" w:hAnsiTheme="minorHAnsi" w:eastAsiaTheme="minorEastAsia" w:cstheme="minorBidi"/>
          <w:kern w:val="0"/>
          <w:sz w:val="24"/>
          <w:szCs w:val="24"/>
          <w:lang w:val="en-US" w:eastAsia="zh-CN" w:bidi="ar"/>
        </w:rPr>
        <w:t>越大，说明退化速度越快。</w:t>
      </w:r>
    </w:p>
    <w:p w14:paraId="4E11DEEF">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为了刻画设备在维护间隔内的自然退化速度，本文进一步定义“自然下降速率”指标：</w:t>
      </w:r>
    </w:p>
    <w:p w14:paraId="08D5C5A5">
      <w:pPr>
        <w:pStyle w:val="4"/>
        <w:rPr>
          <w:rFonts w:asciiTheme="minorHAnsi" w:hAnsiTheme="minorHAnsi" w:eastAsiaTheme="minorEastAsia" w:cstheme="minorBidi"/>
          <w:kern w:val="0"/>
          <w:sz w:val="24"/>
          <w:szCs w:val="24"/>
          <w:lang w:val="en-US" w:eastAsia="zh-CN" w:bidi="ar"/>
        </w:rPr>
      </w:pPr>
      <m:oMathPara>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v</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b</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ascii="Cambria Math" w:hAnsi="Cambria Math" w:eastAsiaTheme="minorEastAsia" w:cstheme="minorBidi"/>
                  <w:kern w:val="0"/>
                  <w:sz w:val="24"/>
                  <w:szCs w:val="24"/>
                  <w:lang w:val="en-US" w:eastAsia="zh-CN" w:bidi="ar"/>
                </w:rPr>
              </m:ctrlPr>
            </m:sub>
          </m:sSub>
        </m:oMath>
      </m:oMathPara>
    </w:p>
    <w:p w14:paraId="2A6B55AA">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并给出其年化形式：</w:t>
      </w:r>
    </w:p>
    <w:p w14:paraId="69AB7387">
      <w:pPr>
        <w:pStyle w:val="4"/>
        <w:rPr>
          <w:rFonts w:hAnsi="Cambria Math" w:eastAsiaTheme="minorEastAsia" w:cstheme="minorBidi"/>
          <w:i w:val="0"/>
          <w:kern w:val="0"/>
          <w:sz w:val="24"/>
          <w:szCs w:val="24"/>
          <w:lang w:val="en-US" w:eastAsia="zh-CN" w:bidi="ar"/>
        </w:rPr>
      </w:pPr>
      <m:oMathPara>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V</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=365</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b</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ascii="Cambria Math" w:hAnsi="Cambria Math" w:eastAsiaTheme="minorEastAsia" w:cstheme="minorBidi"/>
                  <w:kern w:val="0"/>
                  <w:sz w:val="24"/>
                  <w:szCs w:val="24"/>
                  <w:lang w:val="en-US" w:eastAsia="zh-CN" w:bidi="ar"/>
                </w:rPr>
              </m:ctrlPr>
            </m:sub>
          </m:sSub>
        </m:oMath>
      </m:oMathPara>
    </w:p>
    <w:p w14:paraId="6432E3A2">
      <w:pPr>
        <w:pStyle w:val="4"/>
        <w:rPr>
          <w:rFonts w:hAnsi="Cambria Math" w:eastAsiaTheme="minorEastAsia" w:cstheme="minorBidi"/>
          <w:i w:val="0"/>
          <w:kern w:val="0"/>
          <w:sz w:val="24"/>
          <w:szCs w:val="24"/>
          <w:lang w:val="en-US" w:eastAsia="zh-CN" w:bidi="ar"/>
        </w:rPr>
      </w:pPr>
    </w:p>
    <w:p w14:paraId="43274FBD">
      <w:pPr>
        <w:pStyle w:val="4"/>
        <w:jc w:val="center"/>
        <w:rPr>
          <w:rFonts w:hAnsi="Cambria Math" w:eastAsiaTheme="minorEastAsia" w:cstheme="minorBidi"/>
          <w:i w:val="0"/>
          <w:kern w:val="0"/>
          <w:sz w:val="24"/>
          <w:szCs w:val="24"/>
          <w:lang w:val="en-US" w:eastAsia="zh-CN" w:bidi="ar"/>
        </w:rPr>
      </w:pPr>
      <w:r>
        <w:rPr>
          <w:rFonts w:hAnsi="Cambria Math" w:eastAsiaTheme="minorEastAsia" w:cstheme="minorBidi"/>
          <w:i w:val="0"/>
          <w:kern w:val="0"/>
          <w:sz w:val="24"/>
          <w:szCs w:val="24"/>
          <w:lang w:val="en-US" w:eastAsia="zh-CN" w:bidi="ar"/>
        </w:rPr>
        <w:drawing>
          <wp:inline distT="0" distB="0" distL="114300" distR="114300">
            <wp:extent cx="4739005" cy="2715260"/>
            <wp:effectExtent l="0" t="0" r="10795" b="2540"/>
            <wp:docPr id="2" name="图片 2" descr="11_segment_decline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_segment_decline_rate"/>
                    <pic:cNvPicPr>
                      <a:picLocks noChangeAspect="1"/>
                    </pic:cNvPicPr>
                  </pic:nvPicPr>
                  <pic:blipFill>
                    <a:blip r:embed="rId5"/>
                    <a:stretch>
                      <a:fillRect/>
                    </a:stretch>
                  </pic:blipFill>
                  <pic:spPr>
                    <a:xfrm>
                      <a:off x="0" y="0"/>
                      <a:ext cx="4739005" cy="2715260"/>
                    </a:xfrm>
                    <a:prstGeom prst="rect">
                      <a:avLst/>
                    </a:prstGeom>
                  </pic:spPr>
                </pic:pic>
              </a:graphicData>
            </a:graphic>
          </wp:inline>
        </w:drawing>
      </w:r>
    </w:p>
    <w:p w14:paraId="503D3823">
      <w:pPr>
        <w:pStyle w:val="3"/>
        <w:jc w:val="center"/>
        <w:rPr>
          <w:rFonts w:hint="eastAsia" w:hAnsi="Cambria Math" w:eastAsiaTheme="minorEastAsia" w:cstheme="minorBidi"/>
          <w:i w:val="0"/>
          <w:kern w:val="0"/>
          <w:sz w:val="24"/>
          <w:szCs w:val="24"/>
          <w:lang w:val="en-US" w:eastAsia="zh-CN" w:bidi="ar"/>
        </w:rPr>
      </w:pPr>
      <w:r>
        <w:t xml:space="preserve">图 </w:t>
      </w:r>
      <w:r>
        <w:fldChar w:fldCharType="begin"/>
      </w:r>
      <w:r>
        <w:instrText xml:space="preserve"> SEQ 图 \* ARABIC </w:instrText>
      </w:r>
      <w:r>
        <w:fldChar w:fldCharType="separate"/>
      </w:r>
      <w:r>
        <w:t>1</w:t>
      </w:r>
      <w:r>
        <w:fldChar w:fldCharType="end"/>
      </w:r>
      <w:r>
        <w:rPr>
          <w:rFonts w:hint="eastAsia"/>
          <w:lang w:eastAsia="zh-CN"/>
        </w:rPr>
        <w:t>：基于维护间隔段的设备自然下降速率（年化）</w:t>
      </w:r>
    </w:p>
    <w:p w14:paraId="2ED6916E">
      <w:pPr>
        <w:pStyle w:val="4"/>
        <w:jc w:val="center"/>
        <w:rPr>
          <w:rFonts w:hint="eastAsia" w:asciiTheme="minorHAnsi" w:hAnsiTheme="minorHAnsi" w:eastAsiaTheme="minorEastAsia" w:cstheme="minorBidi"/>
          <w:kern w:val="0"/>
          <w:sz w:val="24"/>
          <w:szCs w:val="24"/>
          <w:lang w:val="en-US" w:eastAsia="zh-CN" w:bidi="ar"/>
        </w:rPr>
      </w:pPr>
    </w:p>
    <w:p w14:paraId="73852FF1">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基于维护间隔段的拟合结果表明，10 台设备的有效区段平均斜率均为负值，说明在剔除维护日前后短期扰动后，透水率在维护间隔内普遍呈稳定下降趋势。其中，A10 设备</w:t>
      </w:r>
      <w:r>
        <w:rPr>
          <w:rFonts w:hint="eastAsia" w:asciiTheme="minorHAnsi" w:hAnsiTheme="minorHAnsi" w:cstheme="minorBidi"/>
          <w:kern w:val="0"/>
          <w:sz w:val="24"/>
          <w:szCs w:val="24"/>
          <w:lang w:val="en-US" w:eastAsia="zh-CN" w:bidi="ar"/>
        </w:rPr>
        <w:t>的年化下降速率</w:t>
      </w:r>
      <m:oMath>
        <m:r>
          <m:rPr>
            <m:sty m:val="p"/>
          </m:rPr>
          <w:rPr>
            <w:rFonts w:hint="default" w:ascii="Cambria Math" w:hAnsiTheme="minorHAnsi" w:cstheme="minorBidi"/>
            <w:kern w:val="0"/>
            <w:sz w:val="24"/>
            <w:szCs w:val="24"/>
            <w:lang w:val="en-US" w:eastAsia="zh-CN" w:bidi="ar"/>
          </w:rPr>
          <m:t xml:space="preserve"> </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V</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r>
              <m:rPr>
                <m:sty m:val="p"/>
              </m:rPr>
              <w:rPr>
                <w:rFonts w:hint="default" w:ascii="Cambria Math" w:hAnsi="Cambria Math" w:cstheme="minorBidi"/>
                <w:kern w:val="0"/>
                <w:sz w:val="24"/>
                <w:szCs w:val="24"/>
                <w:lang w:val="en-US" w:eastAsia="zh-CN" w:bidi="ar"/>
              </w:rPr>
              <m:t xml:space="preserve"> </m:t>
            </m:r>
            <m:ctrlPr>
              <w:rPr>
                <w:rFonts w:ascii="Cambria Math" w:hAnsi="Cambria Math" w:eastAsiaTheme="minorEastAsia" w:cstheme="minorBidi"/>
                <w:kern w:val="0"/>
                <w:sz w:val="24"/>
                <w:szCs w:val="24"/>
                <w:lang w:val="en-US" w:eastAsia="zh-CN" w:bidi="ar"/>
              </w:rPr>
            </m:ctrlPr>
          </m:sub>
        </m:sSub>
      </m:oMath>
      <w:r>
        <w:rPr>
          <w:rFonts w:hint="eastAsia" w:asciiTheme="minorHAnsi" w:hAnsiTheme="minorHAnsi" w:eastAsiaTheme="minorEastAsia" w:cstheme="minorBidi"/>
          <w:kern w:val="0"/>
          <w:sz w:val="24"/>
          <w:szCs w:val="24"/>
          <w:lang w:val="en-US" w:eastAsia="zh-CN" w:bidi="ar"/>
        </w:rPr>
        <w:t>约为 −147.31，A6 和 A3 分别约为 −142.43 和 −142.01，退化速度较快；A4 设备</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Cambria Math" w:hAnsi="Cambria Math" w:cstheme="minorBidi"/>
                <w:kern w:val="0"/>
                <w:sz w:val="24"/>
                <w:szCs w:val="24"/>
                <w:lang w:val="en-US" w:eastAsia="zh-CN" w:bidi="ar"/>
              </w:rPr>
              <m:t xml:space="preserve"> </m:t>
            </m:r>
            <m:r>
              <m:rPr>
                <m:sty m:val="p"/>
              </m:rPr>
              <w:rPr>
                <w:rFonts w:hint="default" w:ascii="Cambria Math" w:hAnsi="Cambria Math" w:eastAsiaTheme="minorEastAsia" w:cstheme="minorBidi"/>
                <w:kern w:val="0"/>
                <w:sz w:val="24"/>
                <w:szCs w:val="24"/>
                <w:lang w:val="en-US" w:eastAsia="zh-CN" w:bidi="ar"/>
              </w:rPr>
              <m:t>V</m:t>
            </m:r>
            <m:ctrlPr>
              <w:rPr>
                <w:rFonts w:ascii="Cambria Math" w:hAnsi="Cambria Math" w:eastAsiaTheme="minorEastAsia" w:cstheme="minorBidi"/>
                <w:kern w:val="0"/>
                <w:sz w:val="24"/>
                <w:szCs w:val="24"/>
                <w:lang w:val="en-US" w:eastAsia="zh-CN" w:bidi="ar"/>
              </w:rPr>
            </m:ctrlPr>
          </m:e>
          <m:sub>
            <m:r>
              <m:rPr>
                <m:sty m:val="p"/>
              </m:rPr>
              <w:rPr>
                <w:rFonts w:hint="default" w:ascii="Cambria Math" w:hAnsi="Cambria Math" w:eastAsiaTheme="minorEastAsia" w:cstheme="minorBidi"/>
                <w:kern w:val="0"/>
                <w:sz w:val="24"/>
                <w:szCs w:val="24"/>
                <w:lang w:val="en-US" w:eastAsia="zh-CN" w:bidi="ar"/>
              </w:rPr>
              <m:t>i</m:t>
            </m:r>
            <m:ctrlPr>
              <w:rPr>
                <w:rFonts w:ascii="Cambria Math" w:hAnsi="Cambria Math" w:eastAsiaTheme="minorEastAsia" w:cstheme="minorBidi"/>
                <w:kern w:val="0"/>
                <w:sz w:val="24"/>
                <w:szCs w:val="24"/>
                <w:lang w:val="en-US" w:eastAsia="zh-CN" w:bidi="ar"/>
              </w:rPr>
            </m:ctrlPr>
          </m:sub>
        </m:sSub>
        <m:r>
          <m:rPr>
            <m:sty m:val="p"/>
          </m:rPr>
          <w:rPr>
            <w:rFonts w:hint="default" w:ascii="Cambria Math" w:hAnsi="Cambria Math" w:cstheme="minorBidi"/>
            <w:kern w:val="0"/>
            <w:sz w:val="24"/>
            <w:szCs w:val="24"/>
            <w:lang w:val="en-US" w:eastAsia="zh-CN" w:bidi="ar"/>
          </w:rPr>
          <m:t xml:space="preserve"> </m:t>
        </m:r>
      </m:oMath>
      <w:r>
        <w:rPr>
          <w:rFonts w:hint="eastAsia" w:asciiTheme="minorHAnsi" w:hAnsiTheme="minorHAnsi" w:eastAsiaTheme="minorEastAsia" w:cstheme="minorBidi"/>
          <w:kern w:val="0"/>
          <w:sz w:val="24"/>
          <w:szCs w:val="24"/>
          <w:lang w:val="en-US" w:eastAsia="zh-CN" w:bidi="ar"/>
        </w:rPr>
        <w:t xml:space="preserve">约为 −122.59，相对较慢。各设备区段拟合的平均 </w:t>
      </w:r>
      <m:oMath>
        <m:sSup>
          <m:sSupPr>
            <m:ctrlPr>
              <w:rPr>
                <w:rFonts w:hint="default" w:ascii="Cambria Math" w:hAnsi="Cambria Math" w:eastAsiaTheme="minorEastAsia"/>
                <w:sz w:val="24"/>
              </w:rPr>
            </m:ctrlPr>
          </m:sSupPr>
          <m:e>
            <m:r>
              <m:rPr/>
              <w:rPr>
                <w:rFonts w:hint="default" w:ascii="Cambria Math" w:hAnsi="Cambria Math" w:eastAsiaTheme="minorEastAsia"/>
                <w:sz w:val="24"/>
              </w:rPr>
              <m:t>R</m:t>
            </m:r>
            <m:ctrlPr>
              <w:rPr>
                <w:rFonts w:ascii="Cambria Math" w:hAnsi="Cambria Math" w:eastAsiaTheme="minorEastAsia"/>
                <w:sz w:val="24"/>
              </w:rPr>
            </m:ctrlPr>
          </m:e>
          <m:sup>
            <m:r>
              <m:rPr/>
              <w:rPr>
                <w:rFonts w:hint="default" w:ascii="Cambria Math" w:hAnsi="Cambria Math" w:eastAsiaTheme="minorEastAsia"/>
                <w:sz w:val="24"/>
              </w:rPr>
              <m:t>2</m:t>
            </m:r>
            <m:ctrlPr>
              <w:rPr>
                <w:rFonts w:ascii="Cambria Math" w:hAnsi="Cambria Math" w:eastAsiaTheme="minorEastAsia"/>
                <w:sz w:val="24"/>
              </w:rPr>
            </m:ctrlPr>
          </m:sup>
        </m:sSup>
      </m:oMath>
      <w:r>
        <w:rPr>
          <w:rFonts w:hint="eastAsia" w:asciiTheme="minorHAnsi" w:hAnsiTheme="minorHAnsi" w:eastAsiaTheme="minorEastAsia" w:cstheme="minorBidi"/>
          <w:kern w:val="0"/>
          <w:sz w:val="24"/>
          <w:szCs w:val="24"/>
          <w:lang w:val="en-US" w:eastAsia="zh-CN" w:bidi="ar"/>
        </w:rPr>
        <w:t>大致处于 0.65 至 0.76 之间，说明线性退化模型对维护间隔内透水率变化具有较好的解释能力。</w:t>
      </w:r>
    </w:p>
    <w:p w14:paraId="36A485C4">
      <w:pPr>
        <w:pStyle w:val="4"/>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由此可见，过滤器透水率的长期变化规律可以概括为：在不发生维护的区段内，透水率随使用时间呈近似线性下降，这一结论为后续寿命预测模型中退化项的构建提供了依据。</w:t>
      </w:r>
    </w:p>
    <w:p w14:paraId="47DDCDC3">
      <w:pPr>
        <w:pStyle w:val="4"/>
        <w:rPr>
          <w:rFonts w:hint="eastAsia" w:hAnsi="Cambria Math" w:eastAsiaTheme="minorEastAsia"/>
          <w:i w:val="0"/>
          <w:sz w:val="21"/>
        </w:rPr>
      </w:pPr>
    </w:p>
    <w:p w14:paraId="4F2FE26B">
      <w:pPr>
        <w:pStyle w:val="2"/>
        <w:keepNext w:val="0"/>
        <w:keepLines w:val="0"/>
        <w:widowControl/>
        <w:suppressLineNumbers w:val="0"/>
      </w:pPr>
      <w:r>
        <w:t>1.3 季节周期性分析</w:t>
      </w:r>
    </w:p>
    <w:p w14:paraId="7FF8D820">
      <w:pPr>
        <w:pStyle w:val="5"/>
        <w:keepNext w:val="0"/>
        <w:keepLines w:val="0"/>
        <w:widowControl/>
        <w:suppressLineNumbers w:val="0"/>
      </w:pPr>
      <w:r>
        <w:t>除长期退化外，题目还指出过滤效果和维护效果会受到季节影响，因此需要进一步分析透水率序列中的周期性特征。为此，本文从季节和月份两个层面进行统计：一方面绘制四季箱线图，观察春、夏、秋、冬透水率分布差异；另一方面统计各月份透水率均值和中位数变化趋势，以识别更细粒度的周期规律。</w:t>
      </w:r>
    </w:p>
    <w:p w14:paraId="0DF6E1E5">
      <w:pPr>
        <w:pStyle w:val="4"/>
        <w:rPr>
          <w:rFonts w:ascii="宋体" w:hAnsi="宋体" w:eastAsia="宋体" w:cs="宋体"/>
          <w:sz w:val="24"/>
          <w:szCs w:val="24"/>
        </w:rPr>
      </w:pPr>
      <w:r>
        <w:rPr>
          <w:rFonts w:ascii="宋体" w:hAnsi="宋体" w:eastAsia="宋体" w:cs="宋体"/>
          <w:sz w:val="24"/>
          <w:szCs w:val="24"/>
        </w:rPr>
        <w:t>设季节</w:t>
      </w:r>
      <m:oMath>
        <m:r>
          <m:rPr/>
          <w:rPr>
            <w:rFonts w:hint="default" w:ascii="Cambria Math" w:hAnsi="宋体" w:eastAsia="宋体" w:cs="宋体"/>
            <w:sz w:val="24"/>
            <w:szCs w:val="24"/>
            <w:lang w:val="en-US" w:eastAsia="zh-CN"/>
          </w:rPr>
          <m:t xml:space="preserve"> s</m:t>
        </m:r>
        <m:r>
          <m:rPr/>
          <w:rPr>
            <w:rFonts w:hint="default" w:ascii="Cambria Math" w:hAnsi="Cambria Math" w:eastAsia="宋体" w:cs="宋体"/>
            <w:kern w:val="2"/>
            <w:sz w:val="24"/>
            <w:szCs w:val="24"/>
            <w:lang w:val="en-US" w:eastAsia="zh-CN" w:bidi="ar-SA"/>
          </w:rPr>
          <m:t xml:space="preserve"> </m:t>
        </m:r>
      </m:oMath>
      <w:r>
        <w:rPr>
          <w:rFonts w:ascii="宋体" w:hAnsi="宋体" w:eastAsia="宋体" w:cs="宋体"/>
          <w:sz w:val="24"/>
          <w:szCs w:val="24"/>
        </w:rPr>
        <w:t>下的平均透水率为</w:t>
      </w:r>
      <m:oMath>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lang w:val="en-US" w:eastAsia="zh-CN"/>
                  </w:rPr>
                  <m:t xml:space="preserve"> </m:t>
                </m:r>
                <m:r>
                  <m:rPr/>
                  <w:rPr>
                    <w:rFonts w:hint="default" w:ascii="Cambria Math" w:hAnsi="Cambria Math" w:eastAsia="宋体"/>
                    <w:sz w:val="24"/>
                  </w:rPr>
                  <m:t>P</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s</m:t>
            </m:r>
            <m:r>
              <m:rPr/>
              <w:rPr>
                <w:rFonts w:hint="default" w:ascii="Cambria Math" w:hAnsi="Cambria Math" w:eastAsia="宋体"/>
                <w:sz w:val="24"/>
                <w:lang w:val="en-US" w:eastAsia="zh-CN"/>
              </w:rPr>
              <m:t xml:space="preserve"> </m:t>
            </m:r>
            <m:ctrlPr>
              <w:rPr>
                <w:rFonts w:hint="default" w:ascii="Cambria Math" w:hAnsi="Cambria Math" w:eastAsia="宋体"/>
                <w:sz w:val="24"/>
              </w:rPr>
            </m:ctrlPr>
          </m:sub>
        </m:sSub>
      </m:oMath>
      <w:r>
        <w:rPr>
          <w:rFonts w:ascii="宋体" w:hAnsi="宋体" w:eastAsia="宋体" w:cs="宋体"/>
          <w:sz w:val="24"/>
          <w:szCs w:val="24"/>
        </w:rPr>
        <w:t>，全样本平均透水率为</w:t>
      </w:r>
      <m:oMath>
        <m:r>
          <m:rPr>
            <m:sty m:val="p"/>
          </m:rPr>
          <w:rPr>
            <w:rFonts w:hint="default" w:ascii="Cambria Math" w:hAnsi="宋体" w:eastAsia="宋体" w:cs="宋体"/>
            <w:sz w:val="24"/>
            <w:szCs w:val="24"/>
            <w:lang w:val="en-US" w:eastAsia="zh-CN"/>
          </w:rPr>
          <m:t xml:space="preserve"> </m:t>
        </m:r>
        <m:acc>
          <m:accPr>
            <m:chr m:val="̄"/>
            <m:ctrlPr>
              <w:rPr>
                <w:rFonts w:hint="default" w:ascii="Cambria Math" w:hAnsi="Cambria Math" w:eastAsia="宋体"/>
                <w:sz w:val="24"/>
              </w:rPr>
            </m:ctrlPr>
          </m:accPr>
          <m:e>
            <m:r>
              <m:rPr/>
              <w:rPr>
                <w:rFonts w:hint="default" w:ascii="Cambria Math" w:hAnsi="Cambria Math" w:eastAsia="宋体"/>
                <w:sz w:val="24"/>
              </w:rPr>
              <m:t>P</m:t>
            </m:r>
            <m:r>
              <m:rPr/>
              <w:rPr>
                <w:rFonts w:hint="default" w:ascii="Cambria Math" w:hAnsi="Cambria Math" w:eastAsia="宋体"/>
                <w:sz w:val="24"/>
                <w:lang w:val="en-US" w:eastAsia="zh-CN"/>
              </w:rPr>
              <m:t xml:space="preserve"> </m:t>
            </m:r>
            <m:ctrlPr>
              <w:rPr>
                <w:rFonts w:ascii="Cambria Math" w:hAnsi="Cambria Math" w:eastAsia="宋体"/>
                <w:sz w:val="24"/>
              </w:rPr>
            </m:ctrlPr>
          </m:e>
        </m:acc>
      </m:oMath>
      <w:r>
        <w:rPr>
          <w:rFonts w:ascii="宋体" w:hAnsi="宋体" w:eastAsia="宋体" w:cs="宋体"/>
          <w:sz w:val="24"/>
          <w:szCs w:val="24"/>
        </w:rPr>
        <w:t>，则定义季节修正因子为：</w:t>
      </w:r>
    </w:p>
    <w:p w14:paraId="64C551DA">
      <w:pPr>
        <w:pStyle w:val="4"/>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P</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s</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P</m:t>
              </m:r>
              <m:ctrlPr>
                <w:rPr>
                  <w:rFonts w:hint="default" w:ascii="Cambria Math" w:hAnsi="Cambria Math" w:eastAsia="宋体"/>
                  <w:sz w:val="24"/>
                </w:rPr>
              </m:ctrlPr>
            </m:e>
          </m:acc>
        </m:oMath>
      </m:oMathPara>
    </w:p>
    <w:p w14:paraId="36AD658A">
      <w:pPr>
        <w:pStyle w:val="4"/>
        <w:rPr>
          <w:rFonts w:ascii="宋体" w:hAnsi="宋体" w:eastAsia="宋体" w:cs="宋体"/>
          <w:sz w:val="24"/>
          <w:szCs w:val="24"/>
        </w:rPr>
      </w:pPr>
      <w:r>
        <w:rPr>
          <w:rFonts w:ascii="宋体" w:hAnsi="宋体" w:eastAsia="宋体" w:cs="宋体"/>
          <w:sz w:val="24"/>
          <w:szCs w:val="24"/>
        </w:rPr>
        <w:t>该指标用于衡量某一季节相对于整体平均水平的偏离程度。当</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&gt;0</m:t>
        </m:r>
      </m:oMath>
      <w:r>
        <w:rPr>
          <w:rFonts w:ascii="宋体" w:hAnsi="宋体" w:eastAsia="宋体" w:cs="宋体"/>
          <w:sz w:val="24"/>
          <w:szCs w:val="24"/>
        </w:rPr>
        <w:t>时，说明该季节透水率整体高于平均水平；当</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&lt;0</m:t>
        </m:r>
      </m:oMath>
      <w:r>
        <w:rPr>
          <w:rFonts w:ascii="宋体" w:hAnsi="宋体" w:eastAsia="宋体" w:cs="宋体"/>
          <w:sz w:val="24"/>
          <w:szCs w:val="24"/>
        </w:rPr>
        <w:t>时，说明整体偏低。</w:t>
      </w:r>
    </w:p>
    <w:p w14:paraId="0361CA3E">
      <w:pPr>
        <w:pStyle w:val="4"/>
        <w:rPr>
          <w:rFonts w:hint="default" w:ascii="宋体" w:hAnsi="宋体" w:eastAsia="宋体" w:cs="宋体"/>
          <w:sz w:val="24"/>
          <w:szCs w:val="24"/>
        </w:rPr>
      </w:pPr>
    </w:p>
    <w:p w14:paraId="639CC41D">
      <w:pPr>
        <w:pStyle w:val="4"/>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480685" cy="3109595"/>
            <wp:effectExtent l="0" t="0" r="0" b="0"/>
            <wp:docPr id="55" name="图片 55" descr="03_season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3_season_boxplot"/>
                    <pic:cNvPicPr>
                      <a:picLocks noChangeAspect="1"/>
                    </pic:cNvPicPr>
                  </pic:nvPicPr>
                  <pic:blipFill>
                    <a:blip r:embed="rId6"/>
                    <a:srcRect t="5244"/>
                    <a:stretch>
                      <a:fillRect/>
                    </a:stretch>
                  </pic:blipFill>
                  <pic:spPr>
                    <a:xfrm>
                      <a:off x="0" y="0"/>
                      <a:ext cx="5480685" cy="3109595"/>
                    </a:xfrm>
                    <a:prstGeom prst="rect">
                      <a:avLst/>
                    </a:prstGeom>
                  </pic:spPr>
                </pic:pic>
              </a:graphicData>
            </a:graphic>
          </wp:inline>
        </w:drawing>
      </w:r>
    </w:p>
    <w:p w14:paraId="47849BA4">
      <w:pPr>
        <w:pStyle w:val="3"/>
        <w:jc w:val="center"/>
        <w:rPr>
          <w:rFonts w:hint="eastAsia" w:ascii="宋体" w:hAnsi="宋体" w:cs="宋体" w:eastAsiaTheme="minorEastAsia"/>
          <w:sz w:val="24"/>
          <w:szCs w:val="24"/>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：10 台设备透水率季节性箱线图</w:t>
      </w:r>
    </w:p>
    <w:p w14:paraId="0C60FF81">
      <w:pPr>
        <w:pStyle w:val="4"/>
        <w:rPr>
          <w:rFonts w:ascii="宋体" w:hAnsi="宋体" w:eastAsia="宋体" w:cs="宋体"/>
          <w:sz w:val="24"/>
          <w:szCs w:val="24"/>
        </w:rPr>
      </w:pPr>
    </w:p>
    <w:p w14:paraId="5E10AB49">
      <w:pPr>
        <w:pStyle w:val="4"/>
        <w:rPr>
          <w:rFonts w:ascii="宋体" w:hAnsi="宋体" w:eastAsia="宋体" w:cs="宋体"/>
          <w:sz w:val="24"/>
          <w:szCs w:val="24"/>
        </w:rPr>
      </w:pPr>
      <w:r>
        <w:rPr>
          <w:rFonts w:ascii="宋体" w:hAnsi="宋体" w:eastAsia="宋体" w:cs="宋体"/>
          <w:sz w:val="24"/>
          <w:szCs w:val="24"/>
        </w:rPr>
        <w:t>统计结果表明，透水率存在明显的季节周期性特征。按季节统计，夏季</w:t>
      </w:r>
      <w:r>
        <w:rPr>
          <w:rFonts w:hint="eastAsia" w:hAnsi="宋体" w:eastAsia="宋体" w:cs="宋体"/>
          <w:sz w:val="24"/>
          <w:szCs w:val="24"/>
          <w:lang w:val="en-US" w:eastAsia="zh-CN"/>
        </w:rPr>
        <w:t>的</w:t>
      </w:r>
      <w:r>
        <w:rPr>
          <w:rFonts w:ascii="宋体" w:hAnsi="宋体" w:eastAsia="宋体" w:cs="宋体"/>
          <w:sz w:val="24"/>
          <w:szCs w:val="24"/>
        </w:rPr>
        <w:t>季节修正因子</w:t>
      </w:r>
      <m:oMath>
        <m:sSub>
          <m:sSubPr>
            <m:ctrlPr>
              <w:rPr>
                <w:rFonts w:hint="default" w:ascii="Cambria Math" w:hAnsi="Cambria Math" w:eastAsia="宋体"/>
                <w:sz w:val="24"/>
              </w:rPr>
            </m:ctrlPr>
          </m:sSubPr>
          <m:e>
            <m:r>
              <m:rPr/>
              <w:rPr>
                <w:rFonts w:hint="default" w:ascii="Cambria Math" w:hAnsi="Cambria Math" w:eastAsia="宋体"/>
                <w:sz w:val="24"/>
                <w:lang w:val="en-US" w:eastAsia="zh-CN"/>
              </w:rPr>
              <m:t xml:space="preserve"> </m:t>
            </m:r>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m:t>
            </m:r>
            <m:r>
              <m:rPr/>
              <w:rPr>
                <w:rFonts w:hint="default" w:ascii="Cambria Math" w:hAnsi="Cambria Math" w:eastAsia="宋体"/>
                <w:sz w:val="24"/>
                <w:lang w:val="en-US" w:eastAsia="zh-CN"/>
              </w:rPr>
              <m:t xml:space="preserve"> </m:t>
            </m:r>
            <m:ctrlPr>
              <w:rPr>
                <w:rFonts w:ascii="Cambria Math" w:hAnsi="Cambria Math" w:eastAsia="宋体"/>
                <w:sz w:val="24"/>
              </w:rPr>
            </m:ctrlPr>
          </m:sub>
        </m:sSub>
        <m:r>
          <m:rPr>
            <m:sty m:val="p"/>
          </m:rPr>
          <w:rPr>
            <w:rFonts w:hint="default" w:ascii="Cambria Math" w:hAnsi="Cambria Math" w:eastAsia="宋体"/>
            <w:sz w:val="24"/>
            <w:lang w:val="en-US" w:eastAsia="zh-CN"/>
          </w:rPr>
          <m:t>=11.81</m:t>
        </m:r>
      </m:oMath>
      <w:r>
        <w:rPr>
          <w:rFonts w:ascii="宋体" w:hAnsi="宋体" w:eastAsia="宋体" w:cs="宋体"/>
          <w:sz w:val="24"/>
          <w:szCs w:val="24"/>
        </w:rPr>
        <w:t>，为四季最高；冬季</w:t>
      </w:r>
      <w:r>
        <w:rPr>
          <w:rFonts w:hint="eastAsia" w:hAnsi="宋体" w:eastAsia="宋体" w:cs="宋体"/>
          <w:sz w:val="24"/>
          <w:szCs w:val="24"/>
          <w:lang w:val="en-US" w:eastAsia="zh-CN"/>
        </w:rPr>
        <w:t>的</w:t>
      </w:r>
      <m:oMath>
        <m:r>
          <m:rPr>
            <m:sty m:val="p"/>
          </m:rPr>
          <w:rPr>
            <w:rFonts w:hint="default" w:ascii="Cambria Math" w:hAnsi="宋体" w:eastAsia="宋体" w:cs="宋体"/>
            <w:sz w:val="24"/>
            <w:szCs w:val="24"/>
            <w:lang w:val="en-US" w:eastAsia="zh-CN"/>
          </w:rPr>
          <m:t xml:space="preserve"> </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m:sty m:val="p"/>
          </m:rPr>
          <w:rPr>
            <w:rFonts w:hint="default" w:ascii="Cambria Math" w:hAnsi="Cambria Math" w:eastAsia="宋体"/>
            <w:sz w:val="24"/>
            <w:lang w:val="en-US" w:eastAsia="zh-CN"/>
          </w:rPr>
          <m:t xml:space="preserve">= −13.84 </m:t>
        </m:r>
      </m:oMath>
      <w:r>
        <w:rPr>
          <w:rFonts w:ascii="宋体" w:hAnsi="宋体" w:eastAsia="宋体" w:cs="宋体"/>
          <w:sz w:val="24"/>
          <w:szCs w:val="24"/>
        </w:rPr>
        <w:t xml:space="preserve">，为四季最低；春季和秋季分别约为 </w:t>
      </w:r>
      <w:r>
        <w:rPr>
          <w:rFonts w:hint="eastAsia" w:hAnsi="宋体" w:eastAsia="宋体" w:cs="宋体"/>
          <w:sz w:val="24"/>
          <w:szCs w:val="24"/>
          <w:lang w:val="en-US" w:eastAsia="zh-CN"/>
        </w:rPr>
        <w:t>-1.23</w:t>
      </w:r>
      <w:r>
        <w:rPr>
          <w:rFonts w:ascii="宋体" w:hAnsi="宋体" w:eastAsia="宋体" w:cs="宋体"/>
          <w:sz w:val="24"/>
          <w:szCs w:val="24"/>
        </w:rPr>
        <w:t xml:space="preserve"> 和 </w:t>
      </w:r>
      <w:r>
        <w:rPr>
          <w:rFonts w:hint="eastAsia" w:hAnsi="宋体" w:eastAsia="宋体" w:cs="宋体"/>
          <w:sz w:val="24"/>
          <w:szCs w:val="24"/>
          <w:lang w:val="en-US" w:eastAsia="zh-CN"/>
        </w:rPr>
        <w:t>3.26</w:t>
      </w:r>
      <w:r>
        <w:rPr>
          <w:rFonts w:ascii="宋体" w:hAnsi="宋体" w:eastAsia="宋体" w:cs="宋体"/>
          <w:sz w:val="24"/>
          <w:szCs w:val="24"/>
        </w:rPr>
        <w:t>，处于中间水平。夏冬两季均值相差约 25.65，说明季节因素对透水率检测结果具有不可忽略的影响。</w:t>
      </w:r>
    </w:p>
    <w:p w14:paraId="58D93A32">
      <w:pPr>
        <w:pStyle w:val="4"/>
      </w:pPr>
      <w:r>
        <w:drawing>
          <wp:inline distT="0" distB="0" distL="114300" distR="114300">
            <wp:extent cx="5090160" cy="261683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rcRect t="5243"/>
                    <a:stretch>
                      <a:fillRect/>
                    </a:stretch>
                  </pic:blipFill>
                  <pic:spPr>
                    <a:xfrm>
                      <a:off x="0" y="0"/>
                      <a:ext cx="5090160" cy="2616835"/>
                    </a:xfrm>
                    <a:prstGeom prst="rect">
                      <a:avLst/>
                    </a:prstGeom>
                    <a:noFill/>
                    <a:ln>
                      <a:noFill/>
                    </a:ln>
                  </pic:spPr>
                </pic:pic>
              </a:graphicData>
            </a:graphic>
          </wp:inline>
        </w:drawing>
      </w:r>
    </w:p>
    <w:p w14:paraId="295E16AE">
      <w:pPr>
        <w:pStyle w:val="3"/>
        <w:jc w:val="center"/>
        <w:rPr>
          <w:rFonts w:hint="eastAsia" w:eastAsiaTheme="minor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：各月份透水率均值/中位数变化趋势图</w:t>
      </w:r>
    </w:p>
    <w:p w14:paraId="7D0B2504">
      <w:pPr>
        <w:pStyle w:val="4"/>
        <w:rPr>
          <w:rFonts w:ascii="宋体" w:hAnsi="宋体" w:eastAsia="宋体" w:cs="宋体"/>
          <w:sz w:val="24"/>
          <w:szCs w:val="24"/>
        </w:rPr>
      </w:pPr>
      <w:r>
        <w:rPr>
          <w:rFonts w:ascii="宋体" w:hAnsi="宋体" w:eastAsia="宋体" w:cs="宋体"/>
          <w:sz w:val="24"/>
          <w:szCs w:val="24"/>
        </w:rPr>
        <w:t>进一步观察月度统计结果可知，透水率均值从 1 月约 70.83 逐步上升，到 8 月达到约 102.00，随后在 9 月至 12 月又逐步回落至约 75.11，整体呈现较明显的“冬低夏高”波动趋势。该结果说明透水率序列不仅具有长期退化趋势，还叠加了年周期性的环境影响。</w:t>
      </w:r>
    </w:p>
    <w:p w14:paraId="5B054EDF">
      <w:pPr>
        <w:pStyle w:val="4"/>
        <w:rPr>
          <w:rFonts w:ascii="宋体" w:hAnsi="宋体" w:eastAsia="宋体" w:cs="宋体"/>
          <w:sz w:val="24"/>
          <w:szCs w:val="24"/>
        </w:rPr>
      </w:pPr>
    </w:p>
    <w:p w14:paraId="07041B00">
      <w:pPr>
        <w:pStyle w:val="4"/>
        <w:rPr>
          <w:rFonts w:ascii="宋体" w:hAnsi="宋体" w:eastAsia="宋体" w:cs="宋体"/>
          <w:sz w:val="24"/>
          <w:szCs w:val="24"/>
        </w:rPr>
      </w:pPr>
      <w:r>
        <w:rPr>
          <w:rFonts w:ascii="宋体" w:hAnsi="宋体" w:eastAsia="宋体" w:cs="宋体"/>
          <w:sz w:val="24"/>
          <w:szCs w:val="24"/>
        </w:rPr>
        <w:t>需要说明的是，月度和季节差异中可能同时包含设备使用时长增加所带来的退化效应，因此本文不将该统计结果简单解释为纯粹的季节因果效应，而是在后续预测模型中将季节项与时间退化项共同纳入考虑。</w:t>
      </w:r>
    </w:p>
    <w:p w14:paraId="41D7B96B">
      <w:pPr>
        <w:pStyle w:val="4"/>
        <w:rPr>
          <w:rFonts w:ascii="宋体" w:hAnsi="宋体" w:eastAsia="宋体" w:cs="宋体"/>
          <w:sz w:val="24"/>
          <w:szCs w:val="24"/>
        </w:rPr>
      </w:pPr>
    </w:p>
    <w:p w14:paraId="3DEE47E1">
      <w:pPr>
        <w:pStyle w:val="2"/>
        <w:keepNext w:val="0"/>
        <w:keepLines w:val="0"/>
        <w:widowControl/>
        <w:suppressLineNumbers w:val="0"/>
      </w:pPr>
      <w:r>
        <w:t>1.4 维护行为对透水率的影响分析</w:t>
      </w:r>
    </w:p>
    <w:p w14:paraId="154ED364">
      <w:pPr>
        <w:pStyle w:val="5"/>
        <w:keepNext w:val="0"/>
        <w:keepLines w:val="0"/>
        <w:widowControl/>
        <w:suppressLineNumbers w:val="0"/>
      </w:pPr>
      <w:r>
        <w:t>维护是影响透水率变化的另一关键因素。根据题意，小维护成本可忽略，中维护和大维护分别对应不同维护强度。维护能够清除过滤器表面附着污染物，使透水率在短期内得到恢复，但维护效果的大小及其稳定性可能因设备状态、维护类型和季节条件而异。</w:t>
      </w:r>
    </w:p>
    <w:p w14:paraId="692BEFCC">
      <w:pPr>
        <w:pStyle w:val="5"/>
        <w:keepNext w:val="0"/>
        <w:keepLines w:val="0"/>
        <w:widowControl/>
        <w:suppressLineNumbers w:val="0"/>
        <w:rPr>
          <w:rFonts w:hAnsi="Cambria Math" w:eastAsia="宋体"/>
          <w:i w:val="0"/>
          <w:sz w:val="24"/>
        </w:rPr>
      </w:pPr>
      <w:r>
        <w:t>为定量刻画维护效果，本文以维护日前若干时间窗口内最后一次检测值作为维护前透水率</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before</m:t>
            </m:r>
            <m:ctrlPr>
              <w:rPr>
                <w:rFonts w:ascii="Cambria Math" w:hAnsi="Cambria Math"/>
                <w:sz w:val="24"/>
              </w:rPr>
            </m:ctrlPr>
          </m:sub>
        </m:sSub>
      </m:oMath>
      <w:r>
        <w:rPr>
          <w:rFonts w:ascii="宋体" w:hAnsi="宋体" w:eastAsia="宋体" w:cs="宋体"/>
          <w:sz w:val="24"/>
          <w:szCs w:val="24"/>
        </w:rPr>
        <w:t>，以后续时间窗口内第一次检测值作为维护后透水率</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after</m:t>
            </m:r>
            <m:ctrlPr>
              <w:rPr>
                <w:rFonts w:ascii="Cambria Math" w:hAnsi="Cambria Math" w:eastAsia="宋体"/>
                <w:sz w:val="24"/>
              </w:rPr>
            </m:ctrlPr>
          </m:sub>
        </m:sSub>
      </m:oMath>
      <w:r>
        <w:rPr>
          <w:rFonts w:ascii="宋体" w:hAnsi="宋体" w:eastAsia="宋体" w:cs="宋体"/>
          <w:sz w:val="24"/>
          <w:szCs w:val="24"/>
        </w:rPr>
        <w:t>，并定义维护提升量为：</w:t>
      </w:r>
      <m:oMath>
        <m:r>
          <m:rPr/>
          <w:rPr>
            <w:rFonts w:hint="default" w:ascii="Cambria Math" w:hAnsi="Cambria Math" w:eastAsia="宋体"/>
            <w:sz w:val="24"/>
          </w:rPr>
          <m:t>ΔP=</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after</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before</m:t>
            </m:r>
            <m:ctrlPr>
              <w:rPr>
                <w:rFonts w:ascii="Cambria Math" w:hAnsi="Cambria Math" w:eastAsia="宋体"/>
                <w:sz w:val="24"/>
              </w:rPr>
            </m:ctrlPr>
          </m:sub>
        </m:sSub>
      </m:oMath>
    </w:p>
    <w:p w14:paraId="4568D7E2">
      <w:pPr>
        <w:pStyle w:val="5"/>
        <w:keepNext w:val="0"/>
        <w:keepLines w:val="0"/>
        <w:widowControl/>
        <w:suppressLineNumbers w:val="0"/>
        <w:rPr>
          <w:rFonts w:hint="eastAsia" w:hAnsi="Cambria Math" w:eastAsia="宋体"/>
          <w:i w:val="0"/>
          <w:sz w:val="24"/>
          <w:lang w:val="en-US" w:eastAsia="zh-CN"/>
        </w:rPr>
      </w:pPr>
      <w:r>
        <w:rPr>
          <w:rFonts w:ascii="宋体" w:hAnsi="宋体" w:eastAsia="宋体" w:cs="宋体"/>
          <w:sz w:val="24"/>
          <w:szCs w:val="24"/>
        </w:rPr>
        <w:t>若</w:t>
      </w:r>
      <m:oMath>
        <m:r>
          <m:rPr/>
          <w:rPr>
            <w:rFonts w:hint="default" w:ascii="Cambria Math" w:hAnsi="Cambria Math" w:eastAsia="宋体"/>
            <w:sz w:val="24"/>
          </w:rPr>
          <m:t>ΔP&gt;0</m:t>
        </m:r>
      </m:oMath>
      <w:r>
        <w:rPr>
          <w:rFonts w:ascii="宋体" w:hAnsi="宋体" w:eastAsia="宋体" w:cs="宋体"/>
          <w:sz w:val="24"/>
          <w:szCs w:val="24"/>
        </w:rPr>
        <w:t>，则说明该次维护对透水率恢复有效。进一步定义维护有效率：</w:t>
      </w:r>
      <m:oMath>
        <m:r>
          <m:rPr/>
          <w:rPr>
            <w:rFonts w:hint="default" w:ascii="Cambria Math" w:hAnsi="Cambria Math" w:eastAsia="宋体"/>
            <w:sz w:val="24"/>
          </w:rPr>
          <m:t>E=</m:t>
        </m:r>
        <m:f>
          <m:fPr>
            <m:ctrlPr>
              <w:rPr>
                <w:rFonts w:hint="default" w:ascii="Cambria Math" w:hAnsi="Cambria Math" w:eastAsia="宋体"/>
                <w:sz w:val="24"/>
              </w:rPr>
            </m:ctrlPr>
          </m:fPr>
          <m:num>
            <m:r>
              <m:rPr/>
              <w:rPr>
                <w:rFonts w:hint="default" w:ascii="Cambria Math" w:hAnsi="Cambria Math" w:eastAsia="宋体"/>
                <w:sz w:val="24"/>
                <w:lang w:val="en-US" w:eastAsia="zh-CN"/>
              </w:rPr>
              <m:t>n</m:t>
            </m:r>
            <m:r>
              <m:rPr/>
              <w:rPr>
                <w:rFonts w:hint="default" w:ascii="Cambria Math" w:hAnsi="Cambria Math" w:eastAsia="宋体"/>
                <w:sz w:val="24"/>
              </w:rPr>
              <m:t>(ΔP&gt;0)</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oMath>
    </w:p>
    <w:p w14:paraId="182305B4">
      <w:pPr>
        <w:pStyle w:val="4"/>
        <w:rPr>
          <w:rFonts w:ascii="宋体" w:hAnsi="宋体" w:eastAsia="宋体" w:cs="宋体"/>
          <w:sz w:val="24"/>
          <w:szCs w:val="24"/>
        </w:rPr>
      </w:pPr>
      <w:r>
        <w:rPr>
          <w:rFonts w:ascii="宋体" w:hAnsi="宋体" w:eastAsia="宋体" w:cs="宋体"/>
          <w:sz w:val="24"/>
          <w:szCs w:val="24"/>
        </w:rPr>
        <w:t>其中，</w:t>
      </w:r>
      <m:oMath>
        <m:r>
          <m:rPr/>
          <w:rPr>
            <w:rFonts w:hint="default" w:ascii="Cambria Math" w:hAnsi="Cambria Math" w:eastAsia="宋体" w:cs="宋体"/>
            <w:kern w:val="2"/>
            <w:sz w:val="24"/>
            <w:szCs w:val="24"/>
            <w:lang w:val="en-US" w:eastAsia="zh-CN" w:bidi="ar-SA"/>
          </w:rPr>
          <m:t>N</m:t>
        </m:r>
      </m:oMath>
      <w:r>
        <w:rPr>
          <w:rFonts w:ascii="宋体" w:hAnsi="宋体" w:eastAsia="宋体" w:cs="宋体"/>
          <w:sz w:val="24"/>
          <w:szCs w:val="24"/>
        </w:rPr>
        <w:t>为某类维护的总次数，</w:t>
      </w:r>
      <m:oMath>
        <m:r>
          <m:rPr/>
          <w:rPr>
            <w:rFonts w:hint="default" w:ascii="Cambria Math" w:hAnsi="宋体" w:eastAsia="宋体" w:cs="宋体"/>
            <w:sz w:val="24"/>
            <w:szCs w:val="24"/>
            <w:lang w:val="en-US" w:eastAsia="zh-CN"/>
          </w:rPr>
          <m:t>n</m:t>
        </m:r>
        <m:r>
          <m:rPr/>
          <w:rPr>
            <w:rFonts w:hint="default" w:ascii="Cambria Math" w:hAnsi="Cambria Math" w:eastAsia="宋体"/>
            <w:sz w:val="24"/>
          </w:rPr>
          <m:t>(ΔP&gt;0)</m:t>
        </m:r>
      </m:oMath>
      <w:r>
        <w:rPr>
          <w:rFonts w:ascii="宋体" w:hAnsi="宋体" w:eastAsia="宋体" w:cs="宋体"/>
          <w:sz w:val="24"/>
          <w:szCs w:val="24"/>
        </w:rPr>
        <w:t>为维护后透水率出现正向改善的次数。该指标反映维护的成功概率。</w:t>
      </w:r>
    </w:p>
    <w:p w14:paraId="2AC9384A">
      <w:pPr>
        <w:pStyle w:val="4"/>
        <w:rPr>
          <w:rFonts w:ascii="宋体" w:hAnsi="宋体" w:eastAsia="宋体" w:cs="宋体"/>
          <w:sz w:val="24"/>
          <w:szCs w:val="24"/>
        </w:rPr>
      </w:pPr>
    </w:p>
    <w:p w14:paraId="3D625310">
      <w:pPr>
        <w:pStyle w:val="4"/>
      </w:pPr>
      <w:r>
        <w:drawing>
          <wp:inline distT="0" distB="0" distL="114300" distR="114300">
            <wp:extent cx="5475605" cy="384810"/>
            <wp:effectExtent l="0" t="0" r="0" b="0"/>
            <wp:docPr id="5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9"/>
                    <pic:cNvPicPr>
                      <a:picLocks noChangeAspect="1"/>
                    </pic:cNvPicPr>
                  </pic:nvPicPr>
                  <pic:blipFill>
                    <a:blip r:embed="rId8"/>
                    <a:srcRect t="37046" b="27986"/>
                    <a:stretch>
                      <a:fillRect/>
                    </a:stretch>
                  </pic:blipFill>
                  <pic:spPr>
                    <a:xfrm>
                      <a:off x="0" y="0"/>
                      <a:ext cx="5475605" cy="384810"/>
                    </a:xfrm>
                    <a:prstGeom prst="rect">
                      <a:avLst/>
                    </a:prstGeom>
                    <a:noFill/>
                    <a:ln>
                      <a:noFill/>
                    </a:ln>
                  </pic:spPr>
                </pic:pic>
              </a:graphicData>
            </a:graphic>
          </wp:inline>
        </w:drawing>
      </w:r>
    </w:p>
    <w:p w14:paraId="3275E9CF">
      <w:pPr>
        <w:pStyle w:val="3"/>
        <w:jc w:val="center"/>
        <w:rPr>
          <w:rFonts w:hint="eastAsia" w:eastAsiaTheme="minorEastAsia"/>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：不同维护类型提升量汇总表</w:t>
      </w:r>
    </w:p>
    <w:p w14:paraId="5C63ABAD">
      <w:pPr>
        <w:pStyle w:val="4"/>
        <w:rPr>
          <w:rFonts w:ascii="宋体" w:hAnsi="宋体" w:eastAsia="宋体" w:cs="宋体"/>
          <w:sz w:val="24"/>
          <w:szCs w:val="24"/>
        </w:rPr>
      </w:pPr>
      <w:r>
        <w:rPr>
          <w:rFonts w:ascii="宋体" w:hAnsi="宋体" w:eastAsia="宋体" w:cs="宋体"/>
          <w:sz w:val="24"/>
          <w:szCs w:val="24"/>
        </w:rPr>
        <w:t>从总体统计结果看，中维护和大维护均能显著提升透水率。在当前样本中，中维护有效样本数为 105 次，平均</w:t>
      </w:r>
      <m:oMath>
        <m:r>
          <m:rPr/>
          <w:rPr>
            <w:rFonts w:hint="default" w:ascii="Cambria Math" w:hAnsi="Cambria Math" w:eastAsia="宋体"/>
            <w:sz w:val="24"/>
          </w:rPr>
          <m:t>ΔP</m:t>
        </m:r>
      </m:oMath>
      <w:r>
        <w:rPr>
          <w:rFonts w:ascii="宋体" w:hAnsi="宋体" w:eastAsia="宋体" w:cs="宋体"/>
          <w:sz w:val="24"/>
          <w:szCs w:val="24"/>
        </w:rPr>
        <w:t>约为 19.28，中位</w:t>
      </w:r>
      <m:oMath>
        <m:r>
          <m:rPr/>
          <w:rPr>
            <w:rFonts w:hint="default" w:ascii="Cambria Math" w:hAnsi="Cambria Math" w:eastAsia="宋体"/>
            <w:sz w:val="24"/>
          </w:rPr>
          <m:t>ΔP</m:t>
        </m:r>
      </m:oMath>
      <w:r>
        <w:rPr>
          <w:rFonts w:ascii="宋体" w:hAnsi="宋体" w:eastAsia="宋体" w:cs="宋体"/>
          <w:sz w:val="24"/>
          <w:szCs w:val="24"/>
        </w:rPr>
        <w:t>约为 19.32；大维护有效样本数为 17 次，平均</w:t>
      </w:r>
      <m:oMath>
        <m:r>
          <m:rPr/>
          <w:rPr>
            <w:rFonts w:hint="default" w:ascii="Cambria Math" w:hAnsi="Cambria Math" w:eastAsia="宋体"/>
            <w:sz w:val="24"/>
          </w:rPr>
          <m:t>ΔP</m:t>
        </m:r>
      </m:oMath>
      <w:r>
        <w:rPr>
          <w:rFonts w:ascii="宋体" w:hAnsi="宋体" w:eastAsia="宋体" w:cs="宋体"/>
          <w:sz w:val="24"/>
          <w:szCs w:val="24"/>
        </w:rPr>
        <w:t>约为 17.35，中位</w:t>
      </w:r>
      <m:oMath>
        <m:r>
          <m:rPr/>
          <w:rPr>
            <w:rFonts w:hint="default" w:ascii="Cambria Math" w:hAnsi="Cambria Math" w:eastAsia="宋体"/>
            <w:sz w:val="24"/>
          </w:rPr>
          <m:t>ΔP</m:t>
        </m:r>
      </m:oMath>
      <w:r>
        <w:rPr>
          <w:rFonts w:ascii="宋体" w:hAnsi="宋体" w:eastAsia="宋体" w:cs="宋体"/>
          <w:sz w:val="24"/>
          <w:szCs w:val="24"/>
        </w:rPr>
        <w:t>约为 16.76。大维护样本中最小提升量</w:t>
      </w:r>
      <w:r>
        <w:rPr>
          <w:rFonts w:hint="eastAsia" w:hAnsi="宋体" w:eastAsia="宋体" w:cs="宋体"/>
          <w:sz w:val="24"/>
          <w:szCs w:val="24"/>
          <w:lang w:val="en-US" w:eastAsia="zh-CN"/>
        </w:rPr>
        <w:t>为4.36，且维护有效率</w:t>
      </w:r>
      <m:oMath>
        <m:r>
          <m:rPr/>
          <w:rPr>
            <w:rFonts w:hint="default" w:ascii="Cambria Math" w:hAnsi="宋体" w:eastAsia="宋体" w:cs="宋体"/>
            <w:sz w:val="24"/>
            <w:szCs w:val="24"/>
            <w:lang w:val="en-US" w:eastAsia="zh-CN"/>
          </w:rPr>
          <m:t xml:space="preserve"> </m:t>
        </m:r>
        <m:r>
          <m:rPr/>
          <w:rPr>
            <w:rFonts w:hint="default" w:ascii="Cambria Math" w:hAnsi="Cambria Math" w:eastAsia="宋体"/>
            <w:sz w:val="24"/>
          </w:rPr>
          <m:t>E</m:t>
        </m:r>
      </m:oMath>
      <w:r>
        <w:rPr>
          <w:rFonts w:hint="eastAsia" w:hAnsi="Cambria Math" w:eastAsia="宋体"/>
          <w:i w:val="0"/>
          <w:sz w:val="24"/>
          <w:lang w:val="en-US" w:eastAsia="zh-CN"/>
        </w:rPr>
        <w:t>为1.0；相比之下，</w:t>
      </w:r>
      <w:r>
        <w:rPr>
          <w:rFonts w:ascii="宋体" w:hAnsi="宋体" w:eastAsia="宋体" w:cs="宋体"/>
          <w:sz w:val="24"/>
          <w:szCs w:val="24"/>
        </w:rPr>
        <w:t>中维护存在个别负提升样本</w:t>
      </w:r>
      <w:r>
        <w:rPr>
          <w:rFonts w:hint="eastAsia" w:hAnsi="宋体" w:eastAsia="宋体" w:cs="宋体"/>
          <w:sz w:val="24"/>
          <w:szCs w:val="24"/>
          <w:lang w:eastAsia="zh-CN"/>
        </w:rPr>
        <w:t>。</w:t>
      </w:r>
      <w:r>
        <w:rPr>
          <w:rFonts w:ascii="宋体" w:hAnsi="宋体" w:eastAsia="宋体" w:cs="宋体"/>
          <w:sz w:val="24"/>
          <w:szCs w:val="24"/>
        </w:rPr>
        <w:t>说明两类维护均总体有效，但大维护恢复效果更稳定。</w:t>
      </w:r>
    </w:p>
    <w:p w14:paraId="66B6DA20">
      <w:pPr>
        <w:pStyle w:val="4"/>
        <w:rPr>
          <w:rFonts w:ascii="宋体" w:hAnsi="宋体" w:eastAsia="宋体" w:cs="宋体"/>
          <w:sz w:val="24"/>
          <w:szCs w:val="24"/>
        </w:rPr>
      </w:pPr>
    </w:p>
    <w:p w14:paraId="373A33E8">
      <w:pPr>
        <w:pStyle w:val="4"/>
      </w:pPr>
      <w:r>
        <w:drawing>
          <wp:inline distT="0" distB="0" distL="114300" distR="114300">
            <wp:extent cx="5465445" cy="2563495"/>
            <wp:effectExtent l="0" t="0" r="0" b="0"/>
            <wp:docPr id="5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2"/>
                    <pic:cNvPicPr>
                      <a:picLocks noChangeAspect="1"/>
                    </pic:cNvPicPr>
                  </pic:nvPicPr>
                  <pic:blipFill>
                    <a:blip r:embed="rId9"/>
                    <a:srcRect t="4922"/>
                    <a:stretch>
                      <a:fillRect/>
                    </a:stretch>
                  </pic:blipFill>
                  <pic:spPr>
                    <a:xfrm>
                      <a:off x="0" y="0"/>
                      <a:ext cx="5465445" cy="2563495"/>
                    </a:xfrm>
                    <a:prstGeom prst="rect">
                      <a:avLst/>
                    </a:prstGeom>
                    <a:noFill/>
                    <a:ln>
                      <a:noFill/>
                    </a:ln>
                  </pic:spPr>
                </pic:pic>
              </a:graphicData>
            </a:graphic>
          </wp:inline>
        </w:drawing>
      </w:r>
    </w:p>
    <w:p w14:paraId="379E86E9">
      <w:pPr>
        <w:pStyle w:val="3"/>
        <w:jc w:val="center"/>
        <w:rPr>
          <w:rFonts w:hint="eastAsia" w:eastAsiaTheme="minor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：按设备分组的维护提升量箱线图</w:t>
      </w:r>
    </w:p>
    <w:p w14:paraId="60C95B84">
      <w:pPr>
        <w:pStyle w:val="4"/>
        <w:rPr>
          <w:rFonts w:ascii="宋体" w:hAnsi="宋体" w:eastAsia="宋体" w:cs="宋体"/>
          <w:sz w:val="24"/>
          <w:szCs w:val="24"/>
        </w:rPr>
      </w:pPr>
    </w:p>
    <w:p w14:paraId="1A2543EC">
      <w:pPr>
        <w:pStyle w:val="4"/>
        <w:rPr>
          <w:rFonts w:ascii="宋体" w:hAnsi="宋体" w:eastAsia="宋体" w:cs="宋体"/>
          <w:sz w:val="24"/>
          <w:szCs w:val="24"/>
        </w:rPr>
      </w:pPr>
      <w:r>
        <w:rPr>
          <w:rFonts w:ascii="宋体" w:hAnsi="宋体" w:eastAsia="宋体" w:cs="宋体"/>
          <w:sz w:val="24"/>
          <w:szCs w:val="24"/>
        </w:rPr>
        <w:t>进一步按设备统计可发现，不同设备对维护的响应存在差异。设备综合特征表显示，A6 的平均</w:t>
      </w:r>
      <m:oMath>
        <m:r>
          <m:rPr/>
          <w:rPr>
            <w:rFonts w:hint="default" w:ascii="Cambria Math" w:hAnsi="Cambria Math" w:eastAsia="宋体"/>
            <w:sz w:val="24"/>
          </w:rPr>
          <m:t>ΔP</m:t>
        </m:r>
      </m:oMath>
      <w:r>
        <w:rPr>
          <w:rFonts w:ascii="宋体" w:hAnsi="宋体" w:eastAsia="宋体" w:cs="宋体"/>
          <w:sz w:val="24"/>
          <w:szCs w:val="24"/>
        </w:rPr>
        <w:t>约为 26.34，A4 约为 23.61，A1 约为 21.93，维护恢复效果较为显著；而 A8、A10、A5 的平均</w:t>
      </w:r>
      <m:oMath>
        <m:r>
          <m:rPr/>
          <w:rPr>
            <w:rFonts w:hint="default" w:ascii="Cambria Math" w:hAnsi="Cambria Math" w:eastAsia="宋体"/>
            <w:sz w:val="24"/>
          </w:rPr>
          <m:t>ΔP</m:t>
        </m:r>
      </m:oMath>
      <w:r>
        <w:rPr>
          <w:rFonts w:ascii="宋体" w:hAnsi="宋体" w:eastAsia="宋体" w:cs="宋体"/>
          <w:sz w:val="24"/>
          <w:szCs w:val="24"/>
        </w:rPr>
        <w:t>相对较低，约在 15 至 16 左右。多数设备的维护有效率</w:t>
      </w:r>
      <m:oMath>
        <m:r>
          <m:rPr/>
          <w:rPr>
            <w:rFonts w:hint="default" w:ascii="Cambria Math" w:hAnsi="宋体" w:eastAsia="宋体" w:cs="宋体"/>
            <w:sz w:val="24"/>
            <w:szCs w:val="24"/>
            <w:lang w:val="en-US" w:eastAsia="zh-CN"/>
          </w:rPr>
          <m:t xml:space="preserve"> </m:t>
        </m:r>
        <m:r>
          <m:rPr/>
          <w:rPr>
            <w:rFonts w:hint="default" w:ascii="Cambria Math" w:hAnsi="Cambria Math" w:eastAsia="宋体"/>
            <w:sz w:val="24"/>
          </w:rPr>
          <m:t>E</m:t>
        </m:r>
        <m:r>
          <m:rPr/>
          <w:rPr>
            <w:rFonts w:hint="default" w:ascii="Cambria Math" w:hAnsi="Cambria Math" w:eastAsia="宋体"/>
            <w:sz w:val="24"/>
            <w:lang w:val="en-US" w:eastAsia="zh-CN"/>
          </w:rPr>
          <m:t xml:space="preserve"> </m:t>
        </m:r>
      </m:oMath>
      <w:r>
        <w:rPr>
          <w:rFonts w:ascii="宋体" w:hAnsi="宋体" w:eastAsia="宋体" w:cs="宋体"/>
          <w:sz w:val="24"/>
          <w:szCs w:val="24"/>
        </w:rPr>
        <w:t>为 1.0，说明维护总体上是必要且有效的，但其恢复幅度具有明显设备差异。</w:t>
      </w:r>
    </w:p>
    <w:p w14:paraId="53622DFA">
      <w:pPr>
        <w:pStyle w:val="4"/>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481955" cy="3103245"/>
            <wp:effectExtent l="0" t="0" r="0" b="0"/>
            <wp:docPr id="48" name="图片 48" descr="10_before_permeability_vs_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0_before_permeability_vs_gain"/>
                    <pic:cNvPicPr>
                      <a:picLocks noChangeAspect="1"/>
                    </pic:cNvPicPr>
                  </pic:nvPicPr>
                  <pic:blipFill>
                    <a:blip r:embed="rId10"/>
                    <a:srcRect t="4588"/>
                    <a:stretch>
                      <a:fillRect/>
                    </a:stretch>
                  </pic:blipFill>
                  <pic:spPr>
                    <a:xfrm>
                      <a:off x="0" y="0"/>
                      <a:ext cx="5481955" cy="3103245"/>
                    </a:xfrm>
                    <a:prstGeom prst="rect">
                      <a:avLst/>
                    </a:prstGeom>
                  </pic:spPr>
                </pic:pic>
              </a:graphicData>
            </a:graphic>
          </wp:inline>
        </w:drawing>
      </w:r>
    </w:p>
    <w:p w14:paraId="1BE1BEAE">
      <w:pPr>
        <w:pStyle w:val="3"/>
        <w:jc w:val="center"/>
        <w:rPr>
          <w:rFonts w:hint="eastAsia" w:ascii="宋体" w:hAnsi="宋体" w:cs="宋体" w:eastAsiaTheme="minorEastAsia"/>
          <w:sz w:val="24"/>
          <w:szCs w:val="24"/>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：维护前透水率与维护提升量关系图</w:t>
      </w:r>
    </w:p>
    <w:p w14:paraId="6DD85026">
      <w:pPr>
        <w:pStyle w:val="4"/>
        <w:rPr>
          <w:rFonts w:ascii="宋体" w:hAnsi="宋体" w:eastAsia="宋体" w:cs="宋体"/>
          <w:sz w:val="24"/>
          <w:szCs w:val="24"/>
        </w:rPr>
      </w:pPr>
      <w:r>
        <w:rPr>
          <w:rFonts w:ascii="宋体" w:hAnsi="宋体" w:eastAsia="宋体" w:cs="宋体"/>
          <w:sz w:val="24"/>
          <w:szCs w:val="24"/>
        </w:rPr>
        <w:t>同时，从“维护前透水率—提升量”散点关系图可看出，维护前透水率</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before</m:t>
            </m:r>
            <m:ctrlPr>
              <w:rPr>
                <w:rFonts w:ascii="Cambria Math" w:hAnsi="Cambria Math" w:eastAsia="宋体"/>
                <w:sz w:val="24"/>
              </w:rPr>
            </m:ctrlPr>
          </m:sub>
        </m:sSub>
      </m:oMath>
      <w:r>
        <w:rPr>
          <w:rFonts w:ascii="宋体" w:hAnsi="宋体" w:eastAsia="宋体" w:cs="宋体"/>
          <w:sz w:val="24"/>
          <w:szCs w:val="24"/>
        </w:rPr>
        <w:t>与</w:t>
      </w:r>
      <w:r>
        <w:rPr>
          <w:rFonts w:hint="eastAsia" w:hAnsi="宋体" w:eastAsia="宋体" w:cs="宋体"/>
          <w:sz w:val="24"/>
          <w:szCs w:val="24"/>
          <w:lang w:val="en-US" w:eastAsia="zh-CN"/>
        </w:rPr>
        <w:t>维护</w:t>
      </w:r>
      <w:r>
        <w:rPr>
          <w:rFonts w:ascii="宋体" w:hAnsi="宋体" w:eastAsia="宋体" w:cs="宋体"/>
          <w:sz w:val="24"/>
          <w:szCs w:val="24"/>
        </w:rPr>
        <w:t>提升量</w:t>
      </w:r>
      <m:oMath>
        <m:r>
          <m:rPr/>
          <w:rPr>
            <w:rFonts w:hint="default" w:ascii="Cambria Math" w:hAnsi="Cambria Math" w:eastAsia="宋体"/>
            <w:sz w:val="24"/>
          </w:rPr>
          <m:t>ΔP</m:t>
        </m:r>
      </m:oMath>
      <w:r>
        <w:rPr>
          <w:rFonts w:ascii="宋体" w:hAnsi="宋体" w:eastAsia="宋体" w:cs="宋体"/>
          <w:sz w:val="24"/>
          <w:szCs w:val="24"/>
        </w:rPr>
        <w:t>之间存在一定</w:t>
      </w:r>
      <w:r>
        <w:rPr>
          <w:rFonts w:hint="eastAsia" w:hAnsi="宋体" w:eastAsia="宋体" w:cs="宋体"/>
          <w:sz w:val="24"/>
          <w:szCs w:val="24"/>
          <w:lang w:val="en-US" w:eastAsia="zh-CN"/>
        </w:rPr>
        <w:t>的负相关趋势</w:t>
      </w:r>
      <w:r>
        <w:rPr>
          <w:rFonts w:ascii="宋体" w:hAnsi="宋体" w:eastAsia="宋体" w:cs="宋体"/>
          <w:sz w:val="24"/>
          <w:szCs w:val="24"/>
        </w:rPr>
        <w:t>：当</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before</m:t>
            </m:r>
            <m:ctrlPr>
              <w:rPr>
                <w:rFonts w:ascii="Cambria Math" w:hAnsi="Cambria Math" w:eastAsia="宋体"/>
                <w:sz w:val="24"/>
              </w:rPr>
            </m:ctrlPr>
          </m:sub>
        </m:sSub>
      </m:oMath>
      <w:r>
        <w:rPr>
          <w:rFonts w:ascii="宋体" w:hAnsi="宋体" w:eastAsia="宋体" w:cs="宋体"/>
          <w:sz w:val="24"/>
          <w:szCs w:val="24"/>
        </w:rPr>
        <w:t>较低时，维护后往往能带来更大的恢复幅度。这说明维护策略不能仅按固定时间执行，还应关注设备当前状态，这为第 3 问中建立阈值型维护优化方案提供了依据。</w:t>
      </w:r>
    </w:p>
    <w:p w14:paraId="6C04E2E7">
      <w:pPr>
        <w:pStyle w:val="4"/>
        <w:rPr>
          <w:rFonts w:ascii="宋体" w:hAnsi="宋体" w:eastAsia="宋体" w:cs="宋体"/>
          <w:sz w:val="24"/>
          <w:szCs w:val="24"/>
        </w:rPr>
      </w:pPr>
    </w:p>
    <w:p w14:paraId="6D678ECC">
      <w:pPr>
        <w:pStyle w:val="2"/>
        <w:keepNext w:val="0"/>
        <w:keepLines w:val="0"/>
        <w:widowControl/>
        <w:suppressLineNumbers w:val="0"/>
        <w:rPr>
          <w:rFonts w:hint="eastAsia" w:eastAsia="宋体"/>
          <w:lang w:val="en-US" w:eastAsia="zh-CN"/>
        </w:rPr>
      </w:pPr>
      <w:r>
        <w:t>1.5 透水率变化</w:t>
      </w:r>
      <w:r>
        <w:rPr>
          <w:rFonts w:hint="eastAsia"/>
          <w:lang w:val="en-US" w:eastAsia="zh-CN"/>
        </w:rPr>
        <w:t>关键</w:t>
      </w:r>
      <w:r>
        <w:t>指标</w:t>
      </w:r>
      <w:r>
        <w:rPr>
          <w:rFonts w:hint="eastAsia"/>
          <w:lang w:val="en-US" w:eastAsia="zh-CN"/>
        </w:rPr>
        <w:t>总结</w:t>
      </w:r>
    </w:p>
    <w:p w14:paraId="0B01309E">
      <w:pPr>
        <w:pStyle w:val="5"/>
        <w:keepNext w:val="0"/>
        <w:keepLines w:val="0"/>
        <w:widowControl/>
        <w:suppressLineNumbers w:val="0"/>
      </w:pPr>
      <w:r>
        <w:t>基于上述分析，本文认为透水率变化主要由三类因素共同决定：长期退化、季节波动和维护干预。为了将这些规律进一步转化为后续建模可用的量化变量，本文构建了透水率变化影响指标体系，如表所示。</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2"/>
        <w:gridCol w:w="1305"/>
        <w:gridCol w:w="900"/>
        <w:gridCol w:w="2419"/>
        <w:gridCol w:w="2300"/>
        <w:gridCol w:w="1094"/>
      </w:tblGrid>
      <w:tr w14:paraId="76189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67" w:type="dxa"/>
            <w:shd w:val="clear" w:color="auto" w:fill="auto"/>
            <w:vAlign w:val="center"/>
          </w:tcPr>
          <w:p w14:paraId="76FE2AF1">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指标类别</w:t>
            </w:r>
          </w:p>
        </w:tc>
        <w:tc>
          <w:tcPr>
            <w:tcW w:w="1275" w:type="dxa"/>
            <w:shd w:val="clear" w:color="auto" w:fill="auto"/>
            <w:vAlign w:val="center"/>
          </w:tcPr>
          <w:p w14:paraId="74B927FC">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指标名称</w:t>
            </w:r>
          </w:p>
        </w:tc>
        <w:tc>
          <w:tcPr>
            <w:tcW w:w="870" w:type="dxa"/>
            <w:shd w:val="clear" w:color="auto" w:fill="auto"/>
            <w:vAlign w:val="center"/>
          </w:tcPr>
          <w:p w14:paraId="10997183">
            <w:pPr>
              <w:keepNext w:val="0"/>
              <w:keepLines w:val="0"/>
              <w:widowControl/>
              <w:suppressLineNumbers w:val="0"/>
              <w:jc w:val="center"/>
              <w:rPr>
                <w:b/>
                <w:bCs/>
              </w:rPr>
            </w:pPr>
            <w:r>
              <w:rPr>
                <w:rFonts w:ascii="宋体" w:hAnsi="宋体" w:eastAsia="宋体" w:cs="宋体"/>
                <w:b/>
                <w:bCs/>
                <w:kern w:val="0"/>
                <w:sz w:val="24"/>
                <w:szCs w:val="24"/>
                <w:lang w:val="en-US" w:eastAsia="zh-CN" w:bidi="ar"/>
              </w:rPr>
              <w:t>记号</w:t>
            </w:r>
          </w:p>
        </w:tc>
        <w:tc>
          <w:tcPr>
            <w:tcW w:w="2389" w:type="dxa"/>
            <w:shd w:val="clear" w:color="auto" w:fill="auto"/>
            <w:vAlign w:val="center"/>
          </w:tcPr>
          <w:p w14:paraId="6821317F">
            <w:pPr>
              <w:keepNext w:val="0"/>
              <w:keepLines w:val="0"/>
              <w:widowControl/>
              <w:suppressLineNumbers w:val="0"/>
              <w:jc w:val="center"/>
              <w:rPr>
                <w:b/>
                <w:bCs/>
              </w:rPr>
            </w:pPr>
            <w:r>
              <w:rPr>
                <w:rFonts w:ascii="宋体" w:hAnsi="宋体" w:eastAsia="宋体" w:cs="宋体"/>
                <w:b/>
                <w:bCs/>
                <w:kern w:val="0"/>
                <w:sz w:val="24"/>
                <w:szCs w:val="24"/>
                <w:lang w:val="en-US" w:eastAsia="zh-CN" w:bidi="ar"/>
              </w:rPr>
              <w:t>定义</w:t>
            </w:r>
          </w:p>
        </w:tc>
        <w:tc>
          <w:tcPr>
            <w:tcW w:w="2270" w:type="dxa"/>
            <w:shd w:val="clear" w:color="auto" w:fill="auto"/>
            <w:vAlign w:val="center"/>
          </w:tcPr>
          <w:p w14:paraId="0865BA74">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c>
          <w:tcPr>
            <w:tcW w:w="1049" w:type="dxa"/>
            <w:shd w:val="clear" w:color="auto" w:fill="auto"/>
            <w:vAlign w:val="center"/>
          </w:tcPr>
          <w:p w14:paraId="604CA719">
            <w:pPr>
              <w:keepNext w:val="0"/>
              <w:keepLines w:val="0"/>
              <w:widowControl/>
              <w:suppressLineNumbers w:val="0"/>
              <w:jc w:val="center"/>
              <w:rPr>
                <w:b/>
                <w:bCs/>
              </w:rPr>
            </w:pPr>
            <w:r>
              <w:rPr>
                <w:rFonts w:ascii="宋体" w:hAnsi="宋体" w:eastAsia="宋体" w:cs="宋体"/>
                <w:b/>
                <w:bCs/>
                <w:kern w:val="0"/>
                <w:sz w:val="24"/>
                <w:szCs w:val="24"/>
                <w:lang w:val="en-US" w:eastAsia="zh-CN" w:bidi="ar"/>
              </w:rPr>
              <w:t>后续用途</w:t>
            </w:r>
          </w:p>
        </w:tc>
      </w:tr>
      <w:tr w14:paraId="5D03D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7" w:type="dxa"/>
            <w:shd w:val="clear" w:color="auto" w:fill="auto"/>
            <w:vAlign w:val="center"/>
          </w:tcPr>
          <w:p w14:paraId="4BDEE881">
            <w:pPr>
              <w:keepNext w:val="0"/>
              <w:keepLines w:val="0"/>
              <w:widowControl/>
              <w:suppressLineNumbers w:val="0"/>
              <w:jc w:val="left"/>
            </w:pPr>
            <w:r>
              <w:rPr>
                <w:rFonts w:ascii="宋体" w:hAnsi="宋体" w:eastAsia="宋体" w:cs="宋体"/>
                <w:kern w:val="0"/>
                <w:sz w:val="24"/>
                <w:szCs w:val="24"/>
                <w:lang w:val="en-US" w:eastAsia="zh-CN" w:bidi="ar"/>
              </w:rPr>
              <w:t>长期退化</w:t>
            </w:r>
          </w:p>
        </w:tc>
        <w:tc>
          <w:tcPr>
            <w:tcW w:w="1275" w:type="dxa"/>
            <w:shd w:val="clear" w:color="auto" w:fill="auto"/>
            <w:vAlign w:val="center"/>
          </w:tcPr>
          <w:p w14:paraId="35B7A6D9">
            <w:pPr>
              <w:keepNext w:val="0"/>
              <w:keepLines w:val="0"/>
              <w:widowControl/>
              <w:suppressLineNumbers w:val="0"/>
              <w:jc w:val="left"/>
            </w:pPr>
            <w:r>
              <w:rPr>
                <w:rFonts w:ascii="宋体" w:hAnsi="宋体" w:eastAsia="宋体" w:cs="宋体"/>
                <w:kern w:val="0"/>
                <w:sz w:val="24"/>
                <w:szCs w:val="24"/>
                <w:lang w:val="en-US" w:eastAsia="zh-CN" w:bidi="ar"/>
              </w:rPr>
              <w:t>自然下降速率</w:t>
            </w:r>
          </w:p>
        </w:tc>
        <w:tc>
          <w:tcPr>
            <w:tcW w:w="870" w:type="dxa"/>
            <w:shd w:val="clear" w:color="auto" w:fill="auto"/>
            <w:vAlign w:val="center"/>
          </w:tcPr>
          <w:p w14:paraId="037C41AC">
            <w:pPr>
              <w:keepNext w:val="0"/>
              <w:keepLines w:val="0"/>
              <w:widowControl/>
              <w:suppressLineNumbers w:val="0"/>
              <w:jc w:val="left"/>
            </w:pPr>
            <m:oMathPara>
              <m:oMath>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m:oMathPara>
          </w:p>
        </w:tc>
        <w:tc>
          <w:tcPr>
            <w:tcW w:w="2389" w:type="dxa"/>
            <w:shd w:val="clear" w:color="auto" w:fill="auto"/>
            <w:vAlign w:val="center"/>
          </w:tcPr>
          <w:p w14:paraId="25593952">
            <w:pPr>
              <w:keepNext w:val="0"/>
              <w:keepLines w:val="0"/>
              <w:widowControl/>
              <w:suppressLineNumbers w:val="0"/>
              <w:jc w:val="center"/>
            </w:pPr>
            <w:r>
              <w:rPr>
                <w:rFonts w:ascii="宋体" w:hAnsi="宋体" w:eastAsia="宋体" w:cs="宋体"/>
                <w:kern w:val="0"/>
                <w:sz w:val="24"/>
                <w:szCs w:val="24"/>
                <w:lang w:val="en-US" w:eastAsia="zh-CN" w:bidi="ar"/>
              </w:rPr>
              <w:t>区段线性拟合斜率</w:t>
            </w:r>
          </w:p>
        </w:tc>
        <w:tc>
          <w:tcPr>
            <w:tcW w:w="2270" w:type="dxa"/>
            <w:shd w:val="clear" w:color="auto" w:fill="auto"/>
            <w:vAlign w:val="center"/>
          </w:tcPr>
          <w:p w14:paraId="6D25C936">
            <w:pPr>
              <w:keepNext w:val="0"/>
              <w:keepLines w:val="0"/>
              <w:widowControl/>
              <w:suppressLineNumbers w:val="0"/>
              <w:jc w:val="left"/>
            </w:pPr>
            <w:r>
              <w:rPr>
                <w:rFonts w:ascii="宋体" w:hAnsi="宋体" w:eastAsia="宋体" w:cs="宋体"/>
                <w:kern w:val="0"/>
                <w:sz w:val="24"/>
                <w:szCs w:val="24"/>
                <w:lang w:val="en-US" w:eastAsia="zh-CN" w:bidi="ar"/>
              </w:rPr>
              <w:t>衡量设备老化速度</w:t>
            </w:r>
          </w:p>
        </w:tc>
        <w:tc>
          <w:tcPr>
            <w:tcW w:w="1049" w:type="dxa"/>
            <w:shd w:val="clear" w:color="auto" w:fill="auto"/>
            <w:vAlign w:val="center"/>
          </w:tcPr>
          <w:p w14:paraId="4F669D32">
            <w:pPr>
              <w:keepNext w:val="0"/>
              <w:keepLines w:val="0"/>
              <w:widowControl/>
              <w:suppressLineNumbers w:val="0"/>
              <w:jc w:val="left"/>
            </w:pPr>
            <w:r>
              <w:rPr>
                <w:rFonts w:ascii="宋体" w:hAnsi="宋体" w:eastAsia="宋体" w:cs="宋体"/>
                <w:kern w:val="0"/>
                <w:sz w:val="24"/>
                <w:szCs w:val="24"/>
                <w:lang w:val="en-US" w:eastAsia="zh-CN" w:bidi="ar"/>
              </w:rPr>
              <w:t>寿命预测</w:t>
            </w:r>
          </w:p>
        </w:tc>
      </w:tr>
      <w:tr w14:paraId="7B2AC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7" w:type="dxa"/>
            <w:shd w:val="clear" w:color="auto" w:fill="auto"/>
            <w:vAlign w:val="center"/>
          </w:tcPr>
          <w:p w14:paraId="5E9EB9B7">
            <w:pPr>
              <w:keepNext w:val="0"/>
              <w:keepLines w:val="0"/>
              <w:widowControl/>
              <w:suppressLineNumbers w:val="0"/>
              <w:jc w:val="left"/>
            </w:pPr>
            <w:r>
              <w:rPr>
                <w:rFonts w:ascii="宋体" w:hAnsi="宋体" w:eastAsia="宋体" w:cs="宋体"/>
                <w:kern w:val="0"/>
                <w:sz w:val="24"/>
                <w:szCs w:val="24"/>
                <w:lang w:val="en-US" w:eastAsia="zh-CN" w:bidi="ar"/>
              </w:rPr>
              <w:t>长期退化</w:t>
            </w:r>
          </w:p>
        </w:tc>
        <w:tc>
          <w:tcPr>
            <w:tcW w:w="1275" w:type="dxa"/>
            <w:shd w:val="clear" w:color="auto" w:fill="auto"/>
            <w:vAlign w:val="center"/>
          </w:tcPr>
          <w:p w14:paraId="5565B057">
            <w:pPr>
              <w:keepNext w:val="0"/>
              <w:keepLines w:val="0"/>
              <w:widowControl/>
              <w:suppressLineNumbers w:val="0"/>
              <w:jc w:val="left"/>
            </w:pPr>
            <w:r>
              <w:rPr>
                <w:rFonts w:ascii="宋体" w:hAnsi="宋体" w:eastAsia="宋体" w:cs="宋体"/>
                <w:kern w:val="0"/>
                <w:sz w:val="24"/>
                <w:szCs w:val="24"/>
                <w:lang w:val="en-US" w:eastAsia="zh-CN" w:bidi="ar"/>
              </w:rPr>
              <w:t>年化下降速率</w:t>
            </w:r>
          </w:p>
        </w:tc>
        <w:tc>
          <w:tcPr>
            <w:tcW w:w="870" w:type="dxa"/>
            <w:shd w:val="clear" w:color="auto" w:fill="auto"/>
            <w:vAlign w:val="center"/>
          </w:tcPr>
          <w:p w14:paraId="09464817">
            <w:pPr>
              <w:keepNext w:val="0"/>
              <w:keepLines w:val="0"/>
              <w:widowControl/>
              <w:suppressLineNumbers w:val="0"/>
              <w:jc w:val="left"/>
            </w:pPr>
            <m:oMathPara>
              <m:oMath>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m:oMathPara>
          </w:p>
        </w:tc>
        <w:tc>
          <w:tcPr>
            <w:tcW w:w="2389" w:type="dxa"/>
            <w:shd w:val="clear" w:color="auto" w:fill="auto"/>
            <w:vAlign w:val="center"/>
          </w:tcPr>
          <w:p w14:paraId="36EC27CE">
            <w:pPr>
              <w:keepNext w:val="0"/>
              <w:keepLines w:val="0"/>
              <w:widowControl/>
              <w:suppressLineNumbers w:val="0"/>
              <w:jc w:val="left"/>
            </w:pPr>
            <m:oMathPara>
              <m:oMath>
                <m:r>
                  <m:rPr/>
                  <w:rPr>
                    <w:rFonts w:hint="default" w:ascii="Cambria Math" w:hAnsi="Cambria Math" w:eastAsia="宋体"/>
                    <w:sz w:val="24"/>
                  </w:rPr>
                  <m:t>365</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m:oMathPara>
          </w:p>
        </w:tc>
        <w:tc>
          <w:tcPr>
            <w:tcW w:w="2270" w:type="dxa"/>
            <w:shd w:val="clear" w:color="auto" w:fill="auto"/>
            <w:vAlign w:val="center"/>
          </w:tcPr>
          <w:p w14:paraId="004E2DBF">
            <w:pPr>
              <w:keepNext w:val="0"/>
              <w:keepLines w:val="0"/>
              <w:widowControl/>
              <w:suppressLineNumbers w:val="0"/>
              <w:jc w:val="left"/>
            </w:pPr>
            <w:r>
              <w:rPr>
                <w:rFonts w:ascii="宋体" w:hAnsi="宋体" w:eastAsia="宋体" w:cs="宋体"/>
                <w:kern w:val="0"/>
                <w:sz w:val="24"/>
                <w:szCs w:val="24"/>
                <w:lang w:val="en-US" w:eastAsia="zh-CN" w:bidi="ar"/>
              </w:rPr>
              <w:t>便于设备横向比较</w:t>
            </w:r>
          </w:p>
        </w:tc>
        <w:tc>
          <w:tcPr>
            <w:tcW w:w="1049" w:type="dxa"/>
            <w:shd w:val="clear" w:color="auto" w:fill="auto"/>
            <w:vAlign w:val="center"/>
          </w:tcPr>
          <w:p w14:paraId="2452998D">
            <w:pPr>
              <w:keepNext w:val="0"/>
              <w:keepLines w:val="0"/>
              <w:widowControl/>
              <w:suppressLineNumbers w:val="0"/>
              <w:jc w:val="left"/>
            </w:pPr>
            <w:r>
              <w:rPr>
                <w:rFonts w:ascii="宋体" w:hAnsi="宋体" w:eastAsia="宋体" w:cs="宋体"/>
                <w:kern w:val="0"/>
                <w:sz w:val="24"/>
                <w:szCs w:val="24"/>
                <w:lang w:val="en-US" w:eastAsia="zh-CN" w:bidi="ar"/>
              </w:rPr>
              <w:t>寿命预测</w:t>
            </w:r>
          </w:p>
        </w:tc>
      </w:tr>
      <w:tr w14:paraId="3CEFC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7" w:type="dxa"/>
            <w:shd w:val="clear" w:color="auto" w:fill="auto"/>
            <w:vAlign w:val="center"/>
          </w:tcPr>
          <w:p w14:paraId="3C499576">
            <w:pPr>
              <w:keepNext w:val="0"/>
              <w:keepLines w:val="0"/>
              <w:widowControl/>
              <w:suppressLineNumbers w:val="0"/>
              <w:jc w:val="left"/>
            </w:pPr>
            <w:r>
              <w:rPr>
                <w:rFonts w:ascii="宋体" w:hAnsi="宋体" w:eastAsia="宋体" w:cs="宋体"/>
                <w:kern w:val="0"/>
                <w:sz w:val="24"/>
                <w:szCs w:val="24"/>
                <w:lang w:val="en-US" w:eastAsia="zh-CN" w:bidi="ar"/>
              </w:rPr>
              <w:t>周期波动</w:t>
            </w:r>
          </w:p>
        </w:tc>
        <w:tc>
          <w:tcPr>
            <w:tcW w:w="1275" w:type="dxa"/>
            <w:shd w:val="clear" w:color="auto" w:fill="auto"/>
            <w:vAlign w:val="center"/>
          </w:tcPr>
          <w:p w14:paraId="28B91282">
            <w:pPr>
              <w:keepNext w:val="0"/>
              <w:keepLines w:val="0"/>
              <w:widowControl/>
              <w:suppressLineNumbers w:val="0"/>
              <w:jc w:val="left"/>
            </w:pPr>
            <w:r>
              <w:rPr>
                <w:rFonts w:ascii="宋体" w:hAnsi="宋体" w:eastAsia="宋体" w:cs="宋体"/>
                <w:kern w:val="0"/>
                <w:sz w:val="24"/>
                <w:szCs w:val="24"/>
                <w:lang w:val="en-US" w:eastAsia="zh-CN" w:bidi="ar"/>
              </w:rPr>
              <w:t>季节修正因子</w:t>
            </w:r>
          </w:p>
        </w:tc>
        <w:tc>
          <w:tcPr>
            <w:tcW w:w="870" w:type="dxa"/>
            <w:shd w:val="clear" w:color="auto" w:fill="auto"/>
            <w:vAlign w:val="center"/>
          </w:tcPr>
          <w:p w14:paraId="3CC7F283">
            <w:pPr>
              <w:keepNext w:val="0"/>
              <w:keepLines w:val="0"/>
              <w:widowControl/>
              <w:suppressLineNumbers w:val="0"/>
              <w:jc w:val="left"/>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m:oMathPara>
          </w:p>
        </w:tc>
        <w:tc>
          <w:tcPr>
            <w:tcW w:w="2389" w:type="dxa"/>
            <w:shd w:val="clear" w:color="auto" w:fill="auto"/>
            <w:vAlign w:val="center"/>
          </w:tcPr>
          <w:p w14:paraId="0ABFB9DD">
            <w:pPr>
              <w:keepNext w:val="0"/>
              <w:keepLines w:val="0"/>
              <w:widowControl/>
              <w:suppressLineNumbers w:val="0"/>
              <w:jc w:val="left"/>
            </w:pPr>
            <m:oMathPara>
              <m:oMath>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P</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s</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P</m:t>
                    </m:r>
                    <m:ctrlPr>
                      <w:rPr>
                        <w:rFonts w:hint="default" w:ascii="Cambria Math" w:hAnsi="Cambria Math" w:eastAsia="宋体"/>
                        <w:sz w:val="24"/>
                      </w:rPr>
                    </m:ctrlPr>
                  </m:e>
                </m:acc>
              </m:oMath>
            </m:oMathPara>
          </w:p>
        </w:tc>
        <w:tc>
          <w:tcPr>
            <w:tcW w:w="2270" w:type="dxa"/>
            <w:shd w:val="clear" w:color="auto" w:fill="auto"/>
            <w:vAlign w:val="center"/>
          </w:tcPr>
          <w:p w14:paraId="18A22638">
            <w:pPr>
              <w:keepNext w:val="0"/>
              <w:keepLines w:val="0"/>
              <w:widowControl/>
              <w:suppressLineNumbers w:val="0"/>
              <w:jc w:val="left"/>
            </w:pPr>
            <w:r>
              <w:rPr>
                <w:rFonts w:ascii="宋体" w:hAnsi="宋体" w:eastAsia="宋体" w:cs="宋体"/>
                <w:kern w:val="0"/>
                <w:sz w:val="24"/>
                <w:szCs w:val="24"/>
                <w:lang w:val="en-US" w:eastAsia="zh-CN" w:bidi="ar"/>
              </w:rPr>
              <w:t>衡量季节影响强度</w:t>
            </w:r>
          </w:p>
        </w:tc>
        <w:tc>
          <w:tcPr>
            <w:tcW w:w="1049" w:type="dxa"/>
            <w:shd w:val="clear" w:color="auto" w:fill="auto"/>
            <w:vAlign w:val="center"/>
          </w:tcPr>
          <w:p w14:paraId="623B039B">
            <w:pPr>
              <w:keepNext w:val="0"/>
              <w:keepLines w:val="0"/>
              <w:widowControl/>
              <w:suppressLineNumbers w:val="0"/>
              <w:jc w:val="left"/>
            </w:pPr>
            <w:r>
              <w:rPr>
                <w:rFonts w:ascii="宋体" w:hAnsi="宋体" w:eastAsia="宋体" w:cs="宋体"/>
                <w:kern w:val="0"/>
                <w:sz w:val="24"/>
                <w:szCs w:val="24"/>
                <w:lang w:val="en-US" w:eastAsia="zh-CN" w:bidi="ar"/>
              </w:rPr>
              <w:t>季节修正</w:t>
            </w:r>
          </w:p>
        </w:tc>
      </w:tr>
      <w:tr w14:paraId="73BF5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7" w:type="dxa"/>
            <w:shd w:val="clear" w:color="auto" w:fill="auto"/>
            <w:vAlign w:val="center"/>
          </w:tcPr>
          <w:p w14:paraId="2BAEC544">
            <w:pPr>
              <w:keepNext w:val="0"/>
              <w:keepLines w:val="0"/>
              <w:widowControl/>
              <w:suppressLineNumbers w:val="0"/>
              <w:jc w:val="left"/>
            </w:pPr>
            <w:r>
              <w:rPr>
                <w:rFonts w:ascii="宋体" w:hAnsi="宋体" w:eastAsia="宋体" w:cs="宋体"/>
                <w:kern w:val="0"/>
                <w:sz w:val="24"/>
                <w:szCs w:val="24"/>
                <w:lang w:val="en-US" w:eastAsia="zh-CN" w:bidi="ar"/>
              </w:rPr>
              <w:t>维护影响</w:t>
            </w:r>
          </w:p>
        </w:tc>
        <w:tc>
          <w:tcPr>
            <w:tcW w:w="1275" w:type="dxa"/>
            <w:shd w:val="clear" w:color="auto" w:fill="auto"/>
            <w:vAlign w:val="center"/>
          </w:tcPr>
          <w:p w14:paraId="38338565">
            <w:pPr>
              <w:keepNext w:val="0"/>
              <w:keepLines w:val="0"/>
              <w:widowControl/>
              <w:suppressLineNumbers w:val="0"/>
              <w:jc w:val="left"/>
            </w:pPr>
            <w:r>
              <w:rPr>
                <w:rFonts w:ascii="宋体" w:hAnsi="宋体" w:eastAsia="宋体" w:cs="宋体"/>
                <w:kern w:val="0"/>
                <w:sz w:val="24"/>
                <w:szCs w:val="24"/>
                <w:lang w:val="en-US" w:eastAsia="zh-CN" w:bidi="ar"/>
              </w:rPr>
              <w:t>维护提升量</w:t>
            </w:r>
          </w:p>
        </w:tc>
        <w:tc>
          <w:tcPr>
            <w:tcW w:w="870" w:type="dxa"/>
            <w:shd w:val="clear" w:color="auto" w:fill="auto"/>
            <w:vAlign w:val="center"/>
          </w:tcPr>
          <w:p w14:paraId="17192AC8">
            <w:pPr>
              <w:keepNext w:val="0"/>
              <w:keepLines w:val="0"/>
              <w:widowControl/>
              <w:suppressLineNumbers w:val="0"/>
              <w:jc w:val="left"/>
            </w:pPr>
            <m:oMathPara>
              <m:oMath>
                <m:r>
                  <m:rPr/>
                  <w:rPr>
                    <w:rFonts w:hint="default" w:ascii="Cambria Math" w:hAnsi="Cambria Math" w:eastAsia="宋体"/>
                    <w:sz w:val="24"/>
                  </w:rPr>
                  <m:t>ΔP</m:t>
                </m:r>
              </m:oMath>
            </m:oMathPara>
          </w:p>
        </w:tc>
        <w:tc>
          <w:tcPr>
            <w:tcW w:w="2389" w:type="dxa"/>
            <w:shd w:val="clear" w:color="auto" w:fill="auto"/>
            <w:vAlign w:val="center"/>
          </w:tcPr>
          <w:p w14:paraId="3B6B6AC2">
            <w:pPr>
              <w:keepNext w:val="0"/>
              <w:keepLines w:val="0"/>
              <w:widowControl/>
              <w:suppressLineNumbers w:val="0"/>
              <w:jc w:val="left"/>
            </w:pPr>
            <m:oMathPara>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after</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before</m:t>
                    </m:r>
                    <m:ctrlPr>
                      <w:rPr>
                        <w:rFonts w:ascii="Cambria Math" w:hAnsi="Cambria Math" w:eastAsia="宋体"/>
                        <w:sz w:val="24"/>
                      </w:rPr>
                    </m:ctrlPr>
                  </m:sub>
                </m:sSub>
              </m:oMath>
            </m:oMathPara>
          </w:p>
        </w:tc>
        <w:tc>
          <w:tcPr>
            <w:tcW w:w="2270" w:type="dxa"/>
            <w:shd w:val="clear" w:color="auto" w:fill="auto"/>
            <w:vAlign w:val="center"/>
          </w:tcPr>
          <w:p w14:paraId="06C0FCA4">
            <w:pPr>
              <w:keepNext w:val="0"/>
              <w:keepLines w:val="0"/>
              <w:widowControl/>
              <w:suppressLineNumbers w:val="0"/>
              <w:jc w:val="left"/>
            </w:pPr>
            <w:r>
              <w:rPr>
                <w:rFonts w:ascii="宋体" w:hAnsi="宋体" w:eastAsia="宋体" w:cs="宋体"/>
                <w:kern w:val="0"/>
                <w:sz w:val="24"/>
                <w:szCs w:val="24"/>
                <w:lang w:val="en-US" w:eastAsia="zh-CN" w:bidi="ar"/>
              </w:rPr>
              <w:t>衡量维护恢复幅度</w:t>
            </w:r>
          </w:p>
        </w:tc>
        <w:tc>
          <w:tcPr>
            <w:tcW w:w="1049" w:type="dxa"/>
            <w:shd w:val="clear" w:color="auto" w:fill="auto"/>
            <w:vAlign w:val="center"/>
          </w:tcPr>
          <w:p w14:paraId="65C4529F">
            <w:pPr>
              <w:keepNext w:val="0"/>
              <w:keepLines w:val="0"/>
              <w:widowControl/>
              <w:suppressLineNumbers w:val="0"/>
              <w:jc w:val="left"/>
            </w:pPr>
            <w:r>
              <w:rPr>
                <w:rFonts w:ascii="宋体" w:hAnsi="宋体" w:eastAsia="宋体" w:cs="宋体"/>
                <w:kern w:val="0"/>
                <w:sz w:val="24"/>
                <w:szCs w:val="24"/>
                <w:lang w:val="en-US" w:eastAsia="zh-CN" w:bidi="ar"/>
              </w:rPr>
              <w:t>维护策略优化</w:t>
            </w:r>
          </w:p>
        </w:tc>
      </w:tr>
      <w:tr w14:paraId="0FC28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7" w:type="dxa"/>
            <w:shd w:val="clear" w:color="auto" w:fill="auto"/>
            <w:vAlign w:val="center"/>
          </w:tcPr>
          <w:p w14:paraId="2538ED14">
            <w:pPr>
              <w:keepNext w:val="0"/>
              <w:keepLines w:val="0"/>
              <w:widowControl/>
              <w:suppressLineNumbers w:val="0"/>
              <w:jc w:val="left"/>
            </w:pPr>
            <w:r>
              <w:rPr>
                <w:rFonts w:ascii="宋体" w:hAnsi="宋体" w:eastAsia="宋体" w:cs="宋体"/>
                <w:kern w:val="0"/>
                <w:sz w:val="24"/>
                <w:szCs w:val="24"/>
                <w:lang w:val="en-US" w:eastAsia="zh-CN" w:bidi="ar"/>
              </w:rPr>
              <w:t>维护影响</w:t>
            </w:r>
          </w:p>
        </w:tc>
        <w:tc>
          <w:tcPr>
            <w:tcW w:w="1275" w:type="dxa"/>
            <w:shd w:val="clear" w:color="auto" w:fill="auto"/>
            <w:vAlign w:val="center"/>
          </w:tcPr>
          <w:p w14:paraId="47482AF0">
            <w:pPr>
              <w:keepNext w:val="0"/>
              <w:keepLines w:val="0"/>
              <w:widowControl/>
              <w:suppressLineNumbers w:val="0"/>
              <w:jc w:val="left"/>
            </w:pPr>
            <w:r>
              <w:rPr>
                <w:rFonts w:ascii="宋体" w:hAnsi="宋体" w:eastAsia="宋体" w:cs="宋体"/>
                <w:kern w:val="0"/>
                <w:sz w:val="24"/>
                <w:szCs w:val="24"/>
                <w:lang w:val="en-US" w:eastAsia="zh-CN" w:bidi="ar"/>
              </w:rPr>
              <w:t>维护有效率</w:t>
            </w:r>
          </w:p>
        </w:tc>
        <w:tc>
          <w:tcPr>
            <w:tcW w:w="870" w:type="dxa"/>
            <w:shd w:val="clear" w:color="auto" w:fill="auto"/>
            <w:vAlign w:val="center"/>
          </w:tcPr>
          <w:p w14:paraId="7CCBFBA6">
            <w:pPr>
              <w:keepNext w:val="0"/>
              <w:keepLines w:val="0"/>
              <w:widowControl/>
              <w:suppressLineNumbers w:val="0"/>
              <w:jc w:val="left"/>
            </w:pPr>
            <m:oMathPara>
              <m:oMath>
                <m:r>
                  <m:rPr>
                    <m:sty m:val="p"/>
                  </m:rPr>
                  <w:rPr>
                    <w:rFonts w:ascii="Cambria Math" w:hAnsi="Cambria Math" w:eastAsia="宋体" w:cs="宋体"/>
                    <w:kern w:val="0"/>
                    <w:sz w:val="24"/>
                    <w:szCs w:val="24"/>
                    <w:lang w:val="en-US" w:eastAsia="zh-CN" w:bidi="ar"/>
                  </w:rPr>
                  <m:t>E</m:t>
                </m:r>
              </m:oMath>
            </m:oMathPara>
          </w:p>
        </w:tc>
        <w:tc>
          <w:tcPr>
            <w:tcW w:w="2389" w:type="dxa"/>
            <w:shd w:val="clear" w:color="auto" w:fill="auto"/>
            <w:vAlign w:val="center"/>
          </w:tcPr>
          <w:p w14:paraId="04455A7A">
            <w:pPr>
              <w:keepNext w:val="0"/>
              <w:keepLines w:val="0"/>
              <w:widowControl/>
              <w:suppressLineNumbers w:val="0"/>
              <w:jc w:val="left"/>
            </w:pPr>
            <m:oMathPara>
              <m:oMath>
                <m:f>
                  <m:fPr>
                    <m:ctrlPr>
                      <w:rPr>
                        <w:rFonts w:hint="default" w:ascii="Cambria Math" w:hAnsi="Cambria Math" w:eastAsia="宋体"/>
                        <w:sz w:val="24"/>
                      </w:rPr>
                    </m:ctrlPr>
                  </m:fPr>
                  <m:num>
                    <m:r>
                      <m:rPr/>
                      <w:rPr>
                        <w:rFonts w:hint="default" w:ascii="Cambria Math" w:hAnsi="Cambria Math" w:eastAsia="宋体"/>
                        <w:sz w:val="24"/>
                        <w:lang w:val="en-US" w:eastAsia="zh-CN"/>
                      </w:rPr>
                      <m:t>n</m:t>
                    </m:r>
                    <m:r>
                      <m:rPr/>
                      <w:rPr>
                        <w:rFonts w:hint="default" w:ascii="Cambria Math" w:hAnsi="Cambria Math" w:eastAsia="宋体"/>
                        <w:sz w:val="24"/>
                      </w:rPr>
                      <m:t>(ΔP&gt;0)</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oMath>
            </m:oMathPara>
          </w:p>
        </w:tc>
        <w:tc>
          <w:tcPr>
            <w:tcW w:w="2270" w:type="dxa"/>
            <w:shd w:val="clear" w:color="auto" w:fill="auto"/>
            <w:vAlign w:val="center"/>
          </w:tcPr>
          <w:p w14:paraId="2B7A973C">
            <w:pPr>
              <w:keepNext w:val="0"/>
              <w:keepLines w:val="0"/>
              <w:widowControl/>
              <w:suppressLineNumbers w:val="0"/>
              <w:jc w:val="left"/>
            </w:pPr>
            <w:r>
              <w:rPr>
                <w:rFonts w:ascii="宋体" w:hAnsi="宋体" w:eastAsia="宋体" w:cs="宋体"/>
                <w:kern w:val="0"/>
                <w:sz w:val="24"/>
                <w:szCs w:val="24"/>
                <w:lang w:val="en-US" w:eastAsia="zh-CN" w:bidi="ar"/>
              </w:rPr>
              <w:t>衡量维护成功率</w:t>
            </w:r>
          </w:p>
        </w:tc>
        <w:tc>
          <w:tcPr>
            <w:tcW w:w="1049" w:type="dxa"/>
            <w:shd w:val="clear" w:color="auto" w:fill="auto"/>
            <w:vAlign w:val="center"/>
          </w:tcPr>
          <w:p w14:paraId="013EF50B">
            <w:pPr>
              <w:keepNext w:val="0"/>
              <w:keepLines w:val="0"/>
              <w:widowControl/>
              <w:suppressLineNumbers w:val="0"/>
              <w:jc w:val="left"/>
            </w:pPr>
            <w:r>
              <w:rPr>
                <w:rFonts w:ascii="宋体" w:hAnsi="宋体" w:eastAsia="宋体" w:cs="宋体"/>
                <w:kern w:val="0"/>
                <w:sz w:val="24"/>
                <w:szCs w:val="24"/>
                <w:lang w:val="en-US" w:eastAsia="zh-CN" w:bidi="ar"/>
              </w:rPr>
              <w:t>更换决策</w:t>
            </w:r>
          </w:p>
        </w:tc>
      </w:tr>
      <w:tr w14:paraId="63395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7" w:type="dxa"/>
            <w:shd w:val="clear" w:color="auto" w:fill="auto"/>
            <w:vAlign w:val="center"/>
          </w:tcPr>
          <w:p w14:paraId="60A24C40">
            <w:pPr>
              <w:keepNext w:val="0"/>
              <w:keepLines w:val="0"/>
              <w:widowControl/>
              <w:suppressLineNumbers w:val="0"/>
              <w:jc w:val="left"/>
            </w:pPr>
            <w:r>
              <w:rPr>
                <w:rFonts w:ascii="宋体" w:hAnsi="宋体" w:eastAsia="宋体" w:cs="宋体"/>
                <w:kern w:val="0"/>
                <w:sz w:val="24"/>
                <w:szCs w:val="24"/>
                <w:lang w:val="en-US" w:eastAsia="zh-CN" w:bidi="ar"/>
              </w:rPr>
              <w:t>设备状态</w:t>
            </w:r>
          </w:p>
        </w:tc>
        <w:tc>
          <w:tcPr>
            <w:tcW w:w="1275" w:type="dxa"/>
            <w:shd w:val="clear" w:color="auto" w:fill="auto"/>
            <w:vAlign w:val="center"/>
          </w:tcPr>
          <w:p w14:paraId="6ACE7A3B">
            <w:pPr>
              <w:keepNext w:val="0"/>
              <w:keepLines w:val="0"/>
              <w:widowControl/>
              <w:suppressLineNumbers w:val="0"/>
              <w:jc w:val="left"/>
            </w:pPr>
            <w:r>
              <w:rPr>
                <w:rFonts w:ascii="宋体" w:hAnsi="宋体" w:eastAsia="宋体" w:cs="宋体"/>
                <w:kern w:val="0"/>
                <w:sz w:val="24"/>
                <w:szCs w:val="24"/>
                <w:lang w:val="en-US" w:eastAsia="zh-CN" w:bidi="ar"/>
              </w:rPr>
              <w:t>变异系数</w:t>
            </w:r>
          </w:p>
        </w:tc>
        <w:tc>
          <w:tcPr>
            <w:tcW w:w="870" w:type="dxa"/>
            <w:shd w:val="clear" w:color="auto" w:fill="auto"/>
            <w:vAlign w:val="center"/>
          </w:tcPr>
          <w:p w14:paraId="6F8BC897">
            <w:pPr>
              <w:keepNext w:val="0"/>
              <w:keepLines w:val="0"/>
              <w:widowControl/>
              <w:suppressLineNumbers w:val="0"/>
              <w:jc w:val="left"/>
            </w:pPr>
            <m:oMathPara>
              <m:oMath>
                <m:r>
                  <m:rPr>
                    <m:sty m:val="p"/>
                  </m:rPr>
                  <w:rPr>
                    <w:rFonts w:ascii="Cambria Math" w:hAnsi="Cambria Math" w:eastAsia="宋体" w:cs="宋体"/>
                    <w:kern w:val="0"/>
                    <w:sz w:val="24"/>
                    <w:szCs w:val="24"/>
                    <w:lang w:val="en-US" w:eastAsia="zh-CN" w:bidi="ar"/>
                  </w:rPr>
                  <m:t>CV</m:t>
                </m:r>
              </m:oMath>
            </m:oMathPara>
          </w:p>
        </w:tc>
        <w:tc>
          <w:tcPr>
            <w:tcW w:w="2389" w:type="dxa"/>
            <w:shd w:val="clear" w:color="auto" w:fill="auto"/>
            <w:vAlign w:val="center"/>
          </w:tcPr>
          <w:p w14:paraId="6C008BA8">
            <w:pPr>
              <w:keepNext w:val="0"/>
              <w:keepLines w:val="0"/>
              <w:widowControl/>
              <w:suppressLineNumbers w:val="0"/>
              <w:jc w:val="left"/>
            </w:pPr>
            <m:oMathPara>
              <m:oMath>
                <m:f>
                  <m:fPr>
                    <m:ctrlPr>
                      <w:rPr>
                        <w:rFonts w:hint="default" w:ascii="Cambria Math" w:hAnsi="Cambria Math" w:eastAsia="宋体"/>
                        <w:sz w:val="24"/>
                      </w:rPr>
                    </m:ctrlPr>
                  </m:fPr>
                  <m:num>
                    <m:r>
                      <m:rPr/>
                      <w:rPr>
                        <w:rFonts w:hint="default" w:ascii="Cambria Math" w:hAnsi="Cambria Math" w:eastAsia="宋体"/>
                        <w:sz w:val="24"/>
                      </w:rPr>
                      <m:t>σ</m:t>
                    </m:r>
                    <m:ctrlPr>
                      <w:rPr>
                        <w:rFonts w:ascii="Cambria Math" w:hAnsi="Cambria Math" w:eastAsia="宋体"/>
                        <w:sz w:val="24"/>
                      </w:rPr>
                    </m:ctrlPr>
                  </m:num>
                  <m:den>
                    <m:r>
                      <m:rPr/>
                      <w:rPr>
                        <w:rFonts w:hint="default" w:ascii="Cambria Math" w:hAnsi="Cambria Math" w:eastAsia="宋体"/>
                        <w:sz w:val="24"/>
                      </w:rPr>
                      <m:t>μ</m:t>
                    </m:r>
                    <m:ctrlPr>
                      <w:rPr>
                        <w:rFonts w:ascii="Cambria Math" w:hAnsi="Cambria Math" w:eastAsia="宋体"/>
                        <w:sz w:val="24"/>
                      </w:rPr>
                    </m:ctrlPr>
                  </m:den>
                </m:f>
              </m:oMath>
            </m:oMathPara>
          </w:p>
        </w:tc>
        <w:tc>
          <w:tcPr>
            <w:tcW w:w="2270" w:type="dxa"/>
            <w:shd w:val="clear" w:color="auto" w:fill="auto"/>
            <w:vAlign w:val="center"/>
          </w:tcPr>
          <w:p w14:paraId="228FA012">
            <w:pPr>
              <w:keepNext w:val="0"/>
              <w:keepLines w:val="0"/>
              <w:widowControl/>
              <w:suppressLineNumbers w:val="0"/>
              <w:jc w:val="left"/>
            </w:pPr>
            <w:r>
              <w:rPr>
                <w:rFonts w:ascii="宋体" w:hAnsi="宋体" w:eastAsia="宋体" w:cs="宋体"/>
                <w:kern w:val="0"/>
                <w:sz w:val="24"/>
                <w:szCs w:val="24"/>
                <w:lang w:val="en-US" w:eastAsia="zh-CN" w:bidi="ar"/>
              </w:rPr>
              <w:t>衡量透水率波动程度</w:t>
            </w:r>
          </w:p>
        </w:tc>
        <w:tc>
          <w:tcPr>
            <w:tcW w:w="1049" w:type="dxa"/>
            <w:shd w:val="clear" w:color="auto" w:fill="auto"/>
            <w:vAlign w:val="center"/>
          </w:tcPr>
          <w:p w14:paraId="1CDCC24B">
            <w:pPr>
              <w:keepNext w:val="0"/>
              <w:keepLines w:val="0"/>
              <w:widowControl/>
              <w:suppressLineNumbers w:val="0"/>
              <w:jc w:val="left"/>
            </w:pPr>
            <w:r>
              <w:rPr>
                <w:rFonts w:ascii="宋体" w:hAnsi="宋体" w:eastAsia="宋体" w:cs="宋体"/>
                <w:kern w:val="0"/>
                <w:sz w:val="24"/>
                <w:szCs w:val="24"/>
                <w:lang w:val="en-US" w:eastAsia="zh-CN" w:bidi="ar"/>
              </w:rPr>
              <w:t>风险评价</w:t>
            </w:r>
          </w:p>
        </w:tc>
      </w:tr>
    </w:tbl>
    <w:p w14:paraId="76E01723">
      <w:pPr>
        <w:pStyle w:val="4"/>
        <w:rPr>
          <w:rFonts w:ascii="宋体" w:hAnsi="宋体" w:eastAsia="宋体" w:cs="宋体"/>
          <w:sz w:val="24"/>
          <w:szCs w:val="24"/>
        </w:rPr>
      </w:pPr>
      <w:r>
        <w:rPr>
          <w:rFonts w:ascii="宋体" w:hAnsi="宋体" w:eastAsia="宋体" w:cs="宋体"/>
          <w:sz w:val="24"/>
          <w:szCs w:val="24"/>
        </w:rPr>
        <w:t>其中，变异系数定义为：</w:t>
      </w:r>
    </w:p>
    <w:p w14:paraId="01F79726">
      <w:pPr>
        <w:pStyle w:val="4"/>
        <w:jc w:val="center"/>
        <w:rPr>
          <w:rFonts w:hint="default" w:hAnsi="Cambria Math" w:eastAsia="宋体"/>
          <w:i w:val="0"/>
          <w:sz w:val="24"/>
          <w:lang w:val="en-US" w:eastAsia="zh-CN"/>
        </w:rPr>
      </w:pPr>
      <m:oMath>
        <m:r>
          <m:rPr/>
          <w:rPr>
            <w:rFonts w:hint="default" w:ascii="Cambria Math" w:hAnsi="Cambria Math" w:eastAsia="宋体"/>
            <w:sz w:val="24"/>
          </w:rPr>
          <m:t>CV=</m:t>
        </m:r>
        <m:f>
          <m:fPr>
            <m:ctrlPr>
              <w:rPr>
                <w:rFonts w:hint="default" w:ascii="Cambria Math" w:hAnsi="Cambria Math" w:eastAsia="宋体"/>
                <w:sz w:val="24"/>
              </w:rPr>
            </m:ctrlPr>
          </m:fPr>
          <m:num>
            <m:r>
              <m:rPr/>
              <w:rPr>
                <w:rFonts w:hint="default" w:ascii="Cambria Math" w:hAnsi="Cambria Math" w:eastAsia="宋体"/>
                <w:sz w:val="24"/>
              </w:rPr>
              <m:t>σ</m:t>
            </m:r>
            <m:ctrlPr>
              <w:rPr>
                <w:rFonts w:ascii="Cambria Math" w:hAnsi="Cambria Math" w:eastAsia="宋体"/>
                <w:sz w:val="24"/>
              </w:rPr>
            </m:ctrlPr>
          </m:num>
          <m:den>
            <m:r>
              <m:rPr/>
              <w:rPr>
                <w:rFonts w:hint="default" w:ascii="Cambria Math" w:hAnsi="Cambria Math" w:eastAsia="宋体"/>
                <w:sz w:val="24"/>
              </w:rPr>
              <m:t>μ</m:t>
            </m:r>
            <m:ctrlPr>
              <w:rPr>
                <w:rFonts w:ascii="Cambria Math" w:hAnsi="Cambria Math" w:eastAsia="宋体"/>
                <w:sz w:val="24"/>
              </w:rPr>
            </m:ctrlPr>
          </m:den>
        </m:f>
      </m:oMath>
      <w:r>
        <w:rPr>
          <w:rFonts w:hint="eastAsia" w:hAnsi="Cambria Math" w:eastAsia="宋体"/>
          <w:i w:val="0"/>
          <w:sz w:val="24"/>
          <w:lang w:val="en-US" w:eastAsia="zh-CN"/>
        </w:rPr>
        <w:t xml:space="preserve"> ，</w:t>
      </w:r>
    </w:p>
    <w:p w14:paraId="5DDE2221">
      <w:pPr>
        <w:pStyle w:val="5"/>
        <w:keepNext w:val="0"/>
        <w:keepLines w:val="0"/>
        <w:widowControl/>
        <w:suppressLineNumbers w:val="0"/>
        <w:rPr>
          <w:rFonts w:hint="eastAsia" w:eastAsiaTheme="minorEastAsia"/>
          <w:lang w:eastAsia="zh-CN"/>
        </w:rPr>
      </w:pPr>
      <w:r>
        <w:t>其中</w:t>
      </w:r>
      <m:oMath>
        <m:r>
          <m:rPr>
            <m:sty m:val="p"/>
          </m:rPr>
          <m:t>σ</m:t>
        </m:r>
      </m:oMath>
      <w:r>
        <w:t>为设备透水率标准差，</w:t>
      </w:r>
      <m:oMath>
        <m:r>
          <m:rPr/>
          <w:rPr>
            <w:rFonts w:hint="default" w:ascii="Cambria Math" w:hAnsi="Cambria Math"/>
            <w:sz w:val="24"/>
          </w:rPr>
          <m:t>μ</m:t>
        </m:r>
      </m:oMath>
      <w:r>
        <w:t>为设备透水率均值。该指标用于反映透水率序列的相对波动程度，</w:t>
      </w:r>
      <m:oMath>
        <m:r>
          <m:rPr>
            <m:sty m:val="p"/>
          </m:rPr>
          <w:rPr>
            <w:rFonts w:ascii="Cambria Math" w:hAnsi="Cambria Math" w:cstheme="minorBidi"/>
            <w:kern w:val="0"/>
            <w:sz w:val="24"/>
            <w:szCs w:val="24"/>
            <w:lang w:val="en-US" w:bidi="ar"/>
          </w:rPr>
          <m:t xml:space="preserve">CV </m:t>
        </m:r>
      </m:oMath>
      <w:r>
        <w:t>越大，说明设备状态越不稳定</w:t>
      </w:r>
      <w:r>
        <w:rPr>
          <w:rFonts w:hint="eastAsia"/>
          <w:lang w:eastAsia="zh-CN"/>
        </w:rPr>
        <w:t>，</w:t>
      </w:r>
      <w:r>
        <w:rPr>
          <w:rFonts w:ascii="宋体" w:hAnsi="宋体" w:eastAsia="宋体" w:cs="宋体"/>
          <w:sz w:val="24"/>
          <w:szCs w:val="24"/>
        </w:rPr>
        <w:t>可作为后续设备状态稳定性分析的辅助指标。</w:t>
      </w:r>
    </w:p>
    <w:p w14:paraId="49A32F0F">
      <w:pPr>
        <w:pStyle w:val="5"/>
        <w:keepNext w:val="0"/>
        <w:keepLines w:val="0"/>
        <w:widowControl/>
        <w:suppressLineNumbers w:val="0"/>
      </w:pPr>
      <w:r>
        <w:t>综上所述，过滤器透水率并非由单一因素决定，而是由“时间退化—季节波动—维护干预”三种作用共同形成的复合序列。因此，在第 2 问中，本文将以上述指标为基础，建立同时考虑长期退化项、季节修正项和维护恢复项的寿命预测模型。</w:t>
      </w:r>
    </w:p>
    <w:p w14:paraId="59CD9B3E">
      <w:pPr>
        <w:pStyle w:val="4"/>
        <w:rPr>
          <w:rFonts w:hint="default" w:hAnsi="Cambria Math" w:eastAsia="宋体"/>
          <w:i w:val="0"/>
          <w:sz w:val="24"/>
          <w:lang w:val="en-US"/>
        </w:rPr>
      </w:pPr>
    </w:p>
    <w:p w14:paraId="4565A9FB">
      <w:pPr>
        <w:pStyle w:val="4"/>
        <w:rPr>
          <w:rFonts w:hint="default" w:hAnsi="Cambria Math" w:eastAsia="宋体"/>
          <w:i w:val="0"/>
          <w:sz w:val="24"/>
          <w:lang w:val="en-US"/>
        </w:rPr>
      </w:pPr>
      <w:bookmarkStart w:id="0" w:name="_GoBack"/>
      <w:bookmarkEnd w:id="0"/>
    </w:p>
    <w:p w14:paraId="23AD8130">
      <w:pPr>
        <w:pStyle w:val="4"/>
        <m:rPr/>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oMath>
      </m:oMathPara>
    </w:p>
    <w:p w14:paraId="720248EA">
      <w:pPr>
        <w:pStyle w:val="4"/>
        <w:rPr>
          <w:rFonts w:hAnsi="Cambria Math" w:eastAsia="宋体"/>
          <w:i w:val="0"/>
          <w:sz w:val="24"/>
        </w:rPr>
      </w:pPr>
      <m:oMathPara>
        <m:oMath>
          <m:r>
            <m:rPr/>
            <w:rPr>
              <w:rFonts w:hint="default" w:ascii="Cambria Math" w:hAnsi="Cambria Math" w:eastAsia="宋体"/>
              <w:sz w:val="24"/>
            </w:rPr>
            <m:t>S(t)=</m:t>
          </m:r>
          <m:sSub>
            <m:sSubPr>
              <m:ctrlPr>
                <w:rPr>
                  <w:rFonts w:hint="default" w:ascii="Cambria Math" w:hAnsi="Cambria Math" w:eastAsia="宋体"/>
                  <w:sz w:val="24"/>
                </w:rPr>
              </m:ctrlPr>
            </m:sSubPr>
            <m:e>
              <m:r>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season(t)</m:t>
              </m:r>
              <m:ctrlPr>
                <w:rPr>
                  <w:rFonts w:ascii="Cambria Math" w:hAnsi="Cambria Math" w:eastAsia="宋体"/>
                  <w:sz w:val="24"/>
                </w:rPr>
              </m:ctrlPr>
            </m:sub>
          </m:sSub>
        </m:oMath>
      </m:oMathPara>
    </w:p>
    <w:p w14:paraId="6827D6AA">
      <w:pPr>
        <w:pStyle w:val="4"/>
        <m:rPr/>
        <w:rPr>
          <w:rFonts w:hAnsi="Cambria Math" w:eastAsia="宋体" w:cstheme="minorBidi"/>
          <w:i w:val="0"/>
          <w:kern w:val="2"/>
          <w:sz w:val="24"/>
          <w:szCs w:val="24"/>
          <w:lang w:val="en-US" w:eastAsia="zh-CN" w:bidi="ar-SA"/>
        </w:rPr>
      </w:pPr>
      <m:oMathPara>
        <m:oMath>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before</m:t>
              </m:r>
              <m:ctrlPr>
                <w:rPr>
                  <w:rFonts w:ascii="Cambria Math" w:hAnsi="Cambria Math" w:eastAsia="宋体"/>
                  <w:sz w:val="24"/>
                </w:rPr>
              </m:ctrlPr>
            </m:sub>
          </m:sSub>
          <m:r>
            <m:rPr/>
            <w:rPr>
              <w:rFonts w:hint="default" w:ascii="Cambria Math" w:hAnsi="Cambria Math" w:eastAsia="宋体"/>
              <w:sz w:val="24"/>
            </w:rPr>
            <m:t>(t)</m:t>
          </m:r>
        </m:oMath>
      </m:oMathPara>
    </w:p>
    <w:p w14:paraId="470C7E2F">
      <w:pPr>
        <w:pStyle w:val="4"/>
        <m:rPr/>
        <w:rPr>
          <w:rFonts w:ascii="Cambria Math" w:hAnsi="Cambria Math" w:eastAsia="宋体" w:cstheme="minorBidi"/>
          <w:i/>
          <w:kern w:val="2"/>
          <w:sz w:val="24"/>
          <w:szCs w:val="24"/>
          <w:lang w:val="en-US" w:eastAsia="zh-CN" w:bidi="ar-SA"/>
        </w:rPr>
      </w:pPr>
      <m:oMathPara>
        <m:oMath>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(t)=</m:t>
          </m:r>
          <m:d>
            <m:dPr>
              <m:begChr m:val="{"/>
              <m:endChr m:val=""/>
              <m:ctrlPr>
                <w:rPr>
                  <w:rFonts w:hint="default" w:ascii="Cambria Math" w:hAnsi="Cambria Math" w:eastAsia="宋体"/>
                  <w:sz w:val="24"/>
                </w:rPr>
              </m:ctrlPr>
            </m:dPr>
            <m:e>
              <m:eqArr>
                <m:eqArrPr>
                  <m:ctrlPr>
                    <w:rPr>
                      <w:rFonts w:hint="default" w:ascii="Cambria Math" w:hAnsi="Cambria Math" w:eastAsia="宋体"/>
                      <w:sz w:val="24"/>
                    </w:rPr>
                  </m:ctrlPr>
                </m:eqArrPr>
                <m:e>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before</m:t>
                      </m:r>
                      <m:ctrlPr>
                        <w:rPr>
                          <w:rFonts w:ascii="Cambria Math" w:hAnsi="Cambria Math" w:eastAsia="宋体"/>
                          <w:sz w:val="24"/>
                        </w:rPr>
                      </m:ctrlPr>
                    </m:sub>
                  </m:sSub>
                  <m:r>
                    <m:rPr/>
                    <w:rPr>
                      <w:rFonts w:hint="default" w:ascii="Cambria Math" w:hAnsi="Cambria Math" w:eastAsia="宋体"/>
                      <w:sz w:val="24"/>
                    </w:rPr>
                    <m:t>&lt;60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k,2</m:t>
                      </m:r>
                      <m:ctrlPr>
                        <w:rPr>
                          <w:rFonts w:ascii="Cambria Math" w:hAnsi="Cambria Math" w:eastAsia="宋体"/>
                          <w:sz w:val="24"/>
                        </w:rPr>
                      </m:ctrlPr>
                    </m:sub>
                  </m:sSub>
                  <m:r>
                    <m:rPr/>
                    <w:rPr>
                      <w:rFonts w:hint="default" w:ascii="Cambria Math" w:hAnsi="Cambria Math" w:eastAsia="宋体"/>
                      <w:sz w:val="24"/>
                    </w:rPr>
                    <m:t>,60≤</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before</m:t>
                      </m:r>
                      <m:ctrlPr>
                        <w:rPr>
                          <w:rFonts w:ascii="Cambria Math" w:hAnsi="Cambria Math" w:eastAsia="宋体"/>
                          <w:sz w:val="24"/>
                        </w:rPr>
                      </m:ctrlPr>
                    </m:sub>
                  </m:sSub>
                  <m:r>
                    <m:rPr/>
                    <w:rPr>
                      <w:rFonts w:hint="default" w:ascii="Cambria Math" w:hAnsi="Cambria Math" w:eastAsia="宋体"/>
                      <w:sz w:val="24"/>
                    </w:rPr>
                    <m:t>&lt;80</m:t>
                  </m:r>
                  <m:ctrlPr>
                    <w:rPr>
                      <w:rFonts w:hint="default" w:ascii="Cambria Math" w:hAnsi="Cambria Math" w:eastAsia="宋体"/>
                      <w:sz w:val="24"/>
                    </w:rPr>
                  </m:ctrlPr>
                </m:e>
                <m:e>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k,3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before</m:t>
                      </m:r>
                      <m:ctrlPr>
                        <w:rPr>
                          <w:rFonts w:ascii="Cambria Math" w:hAnsi="Cambria Math" w:eastAsia="宋体"/>
                          <w:sz w:val="24"/>
                        </w:rPr>
                      </m:ctrlPr>
                    </m:sub>
                  </m:sSub>
                  <m:r>
                    <m:rPr/>
                    <w:rPr>
                      <w:rFonts w:hint="default" w:ascii="Cambria Math" w:hAnsi="Cambria Math" w:eastAsia="宋体"/>
                      <w:sz w:val="24"/>
                    </w:rPr>
                    <m:t>≥80</m:t>
                  </m:r>
                  <m:ctrlPr>
                    <w:rPr>
                      <w:rFonts w:hint="default" w:ascii="Cambria Math" w:hAnsi="Cambria Math" w:eastAsia="宋体"/>
                      <w:sz w:val="24"/>
                    </w:rPr>
                  </m:ctrlPr>
                </m:e>
              </m:eqArr>
              <m:ctrlPr>
                <w:rPr>
                  <w:rFonts w:hint="default" w:ascii="Cambria Math" w:hAnsi="Cambria Math" w:eastAsia="宋体"/>
                  <w:sz w:val="24"/>
                </w:rPr>
              </m:ctrlPr>
            </m:e>
          </m:d>
        </m:oMath>
      </m:oMathPara>
    </w:p>
    <w:p w14:paraId="269D66C2">
      <w:pPr>
        <w:pStyle w:val="4"/>
        <m:rPr/>
        <w:rPr>
          <w:rFonts w:hint="default" w:hAnsi="Cambria Math" w:eastAsia="宋体" w:cstheme="minorBidi"/>
          <w:i w:val="0"/>
          <w:kern w:val="2"/>
          <w:sz w:val="24"/>
          <w:szCs w:val="24"/>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d>
                <m:dPr>
                  <m:begChr m:val="{"/>
                  <m:endChr m:val="}"/>
                  <m:ctrlPr>
                    <w:rPr>
                      <w:rFonts w:hint="default" w:ascii="Cambria Math" w:hAnsi="Cambria Math" w:eastAsia="宋体"/>
                      <w:sz w:val="24"/>
                    </w:rPr>
                  </m:ctrlPr>
                </m:dPr>
                <m:e>
                  <m:r>
                    <m:rPr/>
                    <w:rPr>
                      <w:rFonts w:hint="default" w:ascii="Cambria Math" w:hAnsi="Cambria Math" w:eastAsia="宋体"/>
                      <w:sz w:val="24"/>
                    </w:rPr>
                    <m:t>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P</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i,y</m:t>
                      </m:r>
                      <m:ctrlPr>
                        <w:rPr>
                          <w:rFonts w:hint="default" w:ascii="Cambria Math" w:hAnsi="Cambria Math" w:eastAsia="宋体"/>
                          <w:sz w:val="24"/>
                        </w:rPr>
                      </m:ctrlPr>
                    </m:sub>
                  </m:sSub>
                  <m:r>
                    <m:rPr/>
                    <w:rPr>
                      <w:rFonts w:hint="default" w:ascii="Cambria Math" w:hAnsi="Cambria Math" w:eastAsia="宋体"/>
                      <w:sz w:val="24"/>
                    </w:rPr>
                    <m:t>&lt;37且维护后仍无法恢复</m:t>
                  </m:r>
                  <m:ctrlPr>
                    <w:rPr>
                      <w:rFonts w:hint="default" w:ascii="Cambria Math" w:hAnsi="Cambria Math" w:eastAsia="宋体"/>
                      <w:sz w:val="24"/>
                    </w:rPr>
                  </m:ctrlPr>
                </m:e>
              </m:d>
              <m:ctrlPr>
                <w:rPr>
                  <w:rFonts w:hint="default" w:ascii="Cambria Math" w:hAnsi="Cambria Math" w:eastAsia="宋体"/>
                  <w:sz w:val="24"/>
                </w:rPr>
              </m:ctrlPr>
            </m:e>
          </m:func>
        </m:oMath>
      </m:oMathPara>
    </w:p>
    <w:p w14:paraId="593A539F">
      <w:pPr>
        <w:pStyle w:val="4"/>
        <w:rPr>
          <w:rFonts w:hint="default" w:hAnsi="Cambria Math" w:eastAsia="宋体"/>
          <w:i w:val="0"/>
          <w:sz w:val="24"/>
          <w:lang w:val="en-US"/>
        </w:rPr>
      </w:pPr>
    </w:p>
    <w:p w14:paraId="4EE5D9C2">
      <w:pPr>
        <w:pStyle w:val="4"/>
        <w:rPr>
          <w:rFonts w:hint="default" w:hAnsi="Cambria Math" w:eastAsia="宋体"/>
          <w:i w:val="0"/>
          <w:sz w:val="24"/>
          <w:lang w:val="en-US"/>
        </w:rPr>
      </w:pPr>
    </w:p>
    <w:p w14:paraId="0B912074">
      <w:pPr>
        <w:pStyle w:val="4"/>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附录</w:t>
      </w:r>
    </w:p>
    <w:p w14:paraId="7789DD1F">
      <w:pPr>
        <w:pStyle w:val="5"/>
        <w:keepNext w:val="0"/>
        <w:keepLines w:val="0"/>
        <w:widowControl/>
        <w:suppressLineNumbers w:val="0"/>
        <w:jc w:val="left"/>
      </w:pPr>
      <w:r>
        <w:rPr>
          <w:rFonts w:hint="eastAsia"/>
          <w:lang w:val="en-US" w:eastAsia="zh-CN"/>
        </w:rPr>
        <w:t>1.2</w:t>
      </w:r>
      <w:r>
        <w:drawing>
          <wp:inline distT="0" distB="0" distL="114300" distR="114300">
            <wp:extent cx="5474970" cy="1353185"/>
            <wp:effectExtent l="0" t="0" r="11430" b="5715"/>
            <wp:docPr id="4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5"/>
                    <pic:cNvPicPr>
                      <a:picLocks noChangeAspect="1"/>
                    </pic:cNvPicPr>
                  </pic:nvPicPr>
                  <pic:blipFill>
                    <a:blip r:embed="rId11"/>
                    <a:srcRect t="27936" b="22985"/>
                    <a:stretch>
                      <a:fillRect/>
                    </a:stretch>
                  </pic:blipFill>
                  <pic:spPr>
                    <a:xfrm>
                      <a:off x="0" y="0"/>
                      <a:ext cx="5474970" cy="1353185"/>
                    </a:xfrm>
                    <a:prstGeom prst="rect">
                      <a:avLst/>
                    </a:prstGeom>
                    <a:noFill/>
                    <a:ln>
                      <a:noFill/>
                    </a:ln>
                  </pic:spPr>
                </pic:pic>
              </a:graphicData>
            </a:graphic>
          </wp:inline>
        </w:drawing>
      </w:r>
    </w:p>
    <w:p w14:paraId="4C505144">
      <w:pPr>
        <w:pStyle w:val="4"/>
      </w:pPr>
    </w:p>
    <w:p w14:paraId="287156AA">
      <w:pPr>
        <w:pStyle w:val="4"/>
        <w:rPr>
          <w:rFonts w:hint="eastAsia"/>
          <w:lang w:val="en-US" w:eastAsia="zh-CN"/>
        </w:rPr>
      </w:pPr>
      <w:r>
        <w:rPr>
          <w:rFonts w:hint="eastAsia"/>
          <w:lang w:val="en-US" w:eastAsia="zh-CN"/>
        </w:rPr>
        <w:t>1.4</w:t>
      </w:r>
    </w:p>
    <w:p w14:paraId="39DED8BE">
      <w:pPr>
        <w:pStyle w:val="4"/>
        <w:rPr>
          <w:rFonts w:hint="default"/>
          <w:lang w:val="en-US" w:eastAsia="zh-CN"/>
        </w:rPr>
      </w:pPr>
      <w:r>
        <w:drawing>
          <wp:inline distT="0" distB="0" distL="114300" distR="114300">
            <wp:extent cx="5449570" cy="1078865"/>
            <wp:effectExtent l="0" t="0" r="11430" b="635"/>
            <wp:docPr id="5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0"/>
                    <pic:cNvPicPr>
                      <a:picLocks noChangeAspect="1"/>
                    </pic:cNvPicPr>
                  </pic:nvPicPr>
                  <pic:blipFill>
                    <a:blip r:embed="rId12"/>
                    <a:srcRect t="27897" b="22885"/>
                    <a:stretch>
                      <a:fillRect/>
                    </a:stretch>
                  </pic:blipFill>
                  <pic:spPr>
                    <a:xfrm>
                      <a:off x="0" y="0"/>
                      <a:ext cx="5449570" cy="1078865"/>
                    </a:xfrm>
                    <a:prstGeom prst="rect">
                      <a:avLst/>
                    </a:prstGeom>
                    <a:noFill/>
                    <a:ln>
                      <a:noFill/>
                    </a:ln>
                  </pic:spPr>
                </pic:pic>
              </a:graphicData>
            </a:graphic>
          </wp:inline>
        </w:drawing>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006AD9"/>
    <w:rsid w:val="0BA856C5"/>
    <w:rsid w:val="18366B2B"/>
    <w:rsid w:val="43E80F94"/>
    <w:rsid w:val="456A5861"/>
    <w:rsid w:val="4E0B41FA"/>
    <w:rsid w:val="514A58D7"/>
    <w:rsid w:val="5AA75F6F"/>
    <w:rsid w:val="678E5ABB"/>
    <w:rsid w:val="6AAF1A38"/>
    <w:rsid w:val="6E2B5E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Plain Text"/>
    <w:basedOn w:val="1"/>
    <w:qFormat/>
    <w:uiPriority w:val="0"/>
    <w:rPr>
      <w:rFonts w:ascii="宋体" w:hAnsi="Courier New"/>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2821</Words>
  <Characters>3039</Characters>
  <TotalTime>49</TotalTime>
  <ScaleCrop>false</ScaleCrop>
  <LinksUpToDate>false</LinksUpToDate>
  <CharactersWithSpaces>3162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2026-04-26T03:48:00Z</dcterms:created>
  <dc:creator>LXH</dc:creator>
  <cp:lastModifiedBy>刘新辉</cp:lastModifiedBy>
  <dcterms:modified xsi:type="dcterms:W3CDTF">2026-04-26T13:30:38Z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eyJoZGlkIjoiYjU2MjQ1N2IyMDdlZjE3ZDI5YWU4YjdmZmM1NmI5MmEiLCJ1c2VySWQiOiIxNzcwMTczNDYyIn0=</vt:lpwstr>
  </property>
  <property fmtid="{D5CDD505-2E9C-101B-9397-08002B2CF9AE}" pid="3" name="KSOProductBuildVer">
    <vt:lpwstr>2052-12.1.0.25865</vt:lpwstr>
  </property>
  <property fmtid="{D5CDD505-2E9C-101B-9397-08002B2CF9AE}" pid="4" name="ICV">
    <vt:lpwstr>58F0525780D94180B89EE0648E22EE24_12</vt:lpwstr>
  </property>
</Properties>
</file>