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Normal"/>
        <w:keepNext/>
        <w:widowControl/>
        <w:jc w:val="center"/>
        <w:spacing w:before="0" w:after="150" w:line="280" w:lineRule="auto"/>
      </w:pPr>
      <w:r>
        <w:rPr>
          <w:rFonts w:ascii="Microsoft YaHei" w:hAnsi="Microsoft YaHei" w:eastAsia="Microsoft YaHei"/>
          <w:b/>
          <w:color w:val="000000"/>
          <w:sz w:val="36"/>
          <w:szCs w:val="36"/>
        </w:rPr>
        <w:t xml:space="preserve">Thesis项目周组会汇报</w:t>
      </w:r>
    </w:p>
    <w:p>
      <w:pPr>
        <w:pStyle w:val="Normal"/>
        <w:keepNext/>
        <w:widowControl/>
        <w:jc w:val="center"/>
        <w:spacing w:before="0" w:after="80" w:line="280" w:lineRule="auto"/>
      </w:pPr>
      <w:r>
        <w:rPr>
          <w:rFonts w:ascii="宋体" w:hAnsi="宋体" w:eastAsia="宋体"/>
          <w:color w:val="000000"/>
          <w:sz w:val="21"/>
          <w:szCs w:val="21"/>
        </w:rPr>
        <w:t xml:space="preserve">2026年10月24日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本周重点是交付100名用户的联合数据集CSV文件，并推进推荐算法的真实调用。数据已整理成可直接用Excel或WPS查看的行列表，新算法的效果对照仍在联调。</w:t>
      </w:r>
    </w:p>
    <w:p>
      <w:pPr>
        <w:pStyle w:val="Normal"/>
        <w:keepNext/>
        <w:widowControl/>
        <w:jc w:val="left"/>
        <w:spacing w:before="180" w:after="110" w:line="280" w:lineRule="auto"/>
      </w:pPr>
      <w:r>
        <w:rPr>
          <w:rFonts w:ascii="Microsoft YaHei" w:hAnsi="Microsoft YaHei" w:eastAsia="Microsoft YaHei"/>
          <w:b/>
          <w:color w:val="000000"/>
          <w:sz w:val="28"/>
          <w:szCs w:val="28"/>
        </w:rPr>
        <w:t xml:space="preserve">工作内容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已完成谷物商品与评论整理、开发集和测试集划分，以及商品、模拟批次、生命周期事件和证据材料之间的关联。各方法使用同一份用户历史和候选商品，留出评论单独保存，用作独立评价答案。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旧版100用户、18个场景的实验已形成5,000条终态记录，其中4,752条成功、248条模型失败。现有结果尚未显示多智能体方法优于规则方法，因此算法改进重点转向候选商品的语义匹配、短历史偏好的置信度、证据质量融合和反馈修订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MACRec农产品适配基线B0和改进方法I1已完成代码实现及本地测试。真实调用中的多步检索和调度仍有协议问题，新一轮B0与I1主对照尚未完成，暂不报告两者的效果差异。</w:t>
      </w:r>
    </w:p>
    <w:p>
      <w:pPr>
        <w:pStyle w:val="Normal"/>
        <w:keepNext/>
        <w:widowControl/>
        <w:jc w:val="left"/>
        <w:spacing w:before="180" w:after="110" w:line="280" w:lineRule="auto"/>
      </w:pPr>
      <w:r>
        <w:rPr>
          <w:rFonts w:ascii="Microsoft YaHei" w:hAnsi="Microsoft YaHei" w:eastAsia="Microsoft YaHei"/>
          <w:b/>
          <w:color w:val="000000"/>
          <w:sz w:val="28"/>
          <w:szCs w:val="28"/>
        </w:rPr>
        <w:t xml:space="preserve">数据集的解决方案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真实商品和评论来自Amazon Reviews 2023食品类别，筛选范围限定为谷物及其相关商品。由于缺少与这些评论对应的真实批次材料，数据方案是在同一商品标识下建立模拟批次、生命周期事件和证据材料。评论用于描述偏好，材料用于检验推荐时的资格判断和依据核验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本次沿用已冻结的100名测试来源账户，导出123条输入历史评论和100条留出评价评论。候选商品目录包含1,494个父商品，用户与候选商品共有149,276条关联。用户总表恰好100行，评论表和关联表根据实际记录逐行保存，所有文件均以列表示属性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同商品模拟供应链包含1,494个批次、8,964个生命周期事件、11,952份证据材料和22410条本地模拟登记。事件覆盖采收、包装、仓储、检验、运输和零售六个阶段。数据中的SIM字段明确标识模拟来源，历史评论仍属于真实父商品，不解释为对模拟批次的购买或评价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18个实验场景对应1,800条用户与场景绑定。正常材料只保留一套，其余场景用变化明细表示，便于对比缺失、冲突或权限等条件变化。模拟登记采用本地记录，区块链实际部署与联合验证仍属于后续工作。</w:t>
      </w:r>
    </w:p>
    <w:p>
      <w:pPr>
        <w:jc w:val="center"/>
        <w:keepNext/>
        <w:spacing w:before="100" w:after="40"/>
      </w:pPr>
      <w:r>
        <w:drawing>
          <wp:inline distT="0" distB="0" distL="0" distR="0">
            <wp:extent cx="5715000" cy="1876620"/>
            <wp:effectExtent l="0" t="0" r="0" b="0"/>
            <wp:docPr id="1" name="历史评论CSV数据预览" descr="固定100名用户数据集历史评论表的前三条记录，评论展示前90个字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v-preview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7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widowControl/>
        <w:jc w:val="center"/>
        <w:spacing w:before="0" w:after="80" w:line="280" w:lineRule="auto"/>
      </w:pPr>
      <w:r>
        <w:rPr>
          <w:rFonts w:ascii="宋体" w:hAnsi="宋体" w:eastAsia="宋体"/>
          <w:color w:val="000000"/>
          <w:sz w:val="20"/>
          <w:szCs w:val="20"/>
        </w:rPr>
        <w:t xml:space="preserve">历史评论CSV预览，显示前三条记录；评论文本仅展示前90个字符。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查看时先打开“01_用户总表_100行.csv”，再查看历史评论、商品目录和用户候选关联表。通过商品标识可继续连接模拟批次、事件和材料；留出评价评论及场景构造信息分别存放，避免直接进入推荐模型。</w:t>
      </w:r>
    </w:p>
    <w:p>
      <w:pPr>
        <w:pStyle w:val="Normal"/>
        <w:keepNext/>
        <w:widowControl/>
        <w:jc w:val="left"/>
        <w:spacing w:before="180" w:after="110" w:line="280" w:lineRule="auto"/>
      </w:pPr>
      <w:r>
        <w:rPr>
          <w:rFonts w:ascii="Microsoft YaHei" w:hAnsi="Microsoft YaHei" w:eastAsia="Microsoft YaHei"/>
          <w:b/>
          <w:color w:val="000000"/>
          <w:sz w:val="28"/>
          <w:szCs w:val="28"/>
        </w:rPr>
        <w:t xml:space="preserve">后续工作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先补齐检索操作、参数结构和管理调度的完整调用链验证，完成固定16名开发用户的B0与I1配对对照。根据真实结果判断算法改进是否有效，再冻结方法和参数。</w:t>
      </w:r>
    </w:p>
    <w:p>
      <w:pPr>
        <w:pStyle w:val="Normal"/>
        <w:widowControl/>
        <w:jc w:val="both"/>
        <w:spacing w:before="0" w:after="110" w:line="312" w:lineRule="auto"/>
        <w:ind w:firstLine="480"/>
      </w:pPr>
      <w:r>
        <w:rPr>
          <w:rFonts w:ascii="宋体" w:hAnsi="宋体" w:eastAsia="宋体"/>
          <w:color w:val="000000"/>
          <w:sz w:val="24"/>
          <w:szCs w:val="24"/>
        </w:rPr>
        <w:t xml:space="preserve">随后在相同100名用户上开展新方法的正式对照、异常场景和消融实验，分别检查推荐准确性、证据变化下的表现及各改进组件的作用。之后接入区块链登记与核验模块，完成联合验证，并据实际结果更新论文的实验、讨论和结论。</w:t>
      </w:r>
    </w:p>
    <w:sectPr>
      <w:pgSz w:w="11906" w:h="16838"/>
      <w:pgMar w:top="1134" w:right="1247" w:bottom="1134" w:left="1247" w:header="0" w:footer="0" w:gutter="0"/>
    </w:sectPr>
  </w:body>
</w:document>
</file>

<file path=word/settings.xml><?xml version="1.0" encoding="utf-8"?>
<w:settings xmlns:w="http://schemas.openxmlformats.org/wordprocessingml/2006/main"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  <w:sz w:val="24"/>
        <w:lang w:val="zh-CN" w:eastAsia="zh-CN"/>
      </w:rPr>
    </w:rPrDefault>
  </w:docDefaults>
  <w:style w:type="paragraph" w:default="1" w:styleId="Normal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age1" Type="http://schemas.openxmlformats.org/officeDocument/2006/relationships/image" Target="media/csv-preview.png"/></Relationships>
</file>