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28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28"/>
          <w:lang w:val="en-US" w:eastAsia="zh-CN"/>
        </w:rPr>
        <w:t>青山区数据模型</w:t>
      </w:r>
    </w:p>
    <w:p>
      <w:pPr>
        <w:ind w:left="0" w:leftChars="0" w:firstLine="0" w:firstLineChars="0"/>
        <w:jc w:val="center"/>
        <w:rPr>
          <w:rFonts w:hint="eastAsia" w:ascii="仿宋" w:hAnsi="仿宋" w:eastAsia="仿宋" w:cs="仿宋"/>
          <w:b/>
          <w:bCs/>
          <w:sz w:val="28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1"/>
          <w:lang w:val="en-US" w:eastAsia="zh-CN"/>
        </w:rPr>
        <w:t>具体需求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8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第一步:从人民法院诉讼资产网查找出青山区人民法院拍卖公告；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8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第二步:对拍卖公告进行梳理，梳理出有用数据。包括公告时间拍卖标的名称，拍卖类型(动产或者不动产)，拍卖时间，拍卖次数是一拍，二拍，还是变卖)，起拍金额，加价幅度。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8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第三步，对已经梳理出的数据进行碰撞分析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8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A、对于动产，一拍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公告日期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与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拍卖日期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小于十五日，对于不动产一拍公告日期小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于拍卖日期三十日的。作为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案件线索输出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。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8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B、比对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同一资产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的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一拍日期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与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二拍日期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。一拍日期与二拍日期大于三十日的，作为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案件线索输出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。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8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C、比对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二拍公告日期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与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拍卖日期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。对于动产，相差小于七天的，不动产小于十五天的。作为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案件线索输出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。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sz w:val="28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D、比对一拍，二拍，变卖的起拍价。二拍价格不得低于一拍起拍价的80%，否则作为案件线索输出。变卖价格与二拍价格不一致的，作为</w:t>
      </w:r>
      <w:r>
        <w:rPr>
          <w:rFonts w:hint="eastAsia" w:ascii="仿宋" w:hAnsi="仿宋" w:eastAsia="仿宋" w:cs="仿宋"/>
          <w:sz w:val="28"/>
          <w:szCs w:val="21"/>
          <w:highlight w:val="yellow"/>
          <w:lang w:val="en-US" w:eastAsia="zh-CN"/>
        </w:rPr>
        <w:t>案件线索输出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。</w:t>
      </w: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default" w:ascii="仿宋" w:hAnsi="仿宋" w:eastAsia="仿宋" w:cs="仿宋"/>
          <w:sz w:val="28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第</w:t>
      </w:r>
      <w:r>
        <w:rPr>
          <w:rFonts w:hint="default" w:ascii="仿宋" w:hAnsi="仿宋" w:eastAsia="仿宋" w:cs="仿宋"/>
          <w:sz w:val="28"/>
          <w:szCs w:val="21"/>
          <w:lang w:val="en-US" w:eastAsia="zh-CN"/>
        </w:rPr>
        <w:t>四</w:t>
      </w:r>
      <w:r>
        <w:rPr>
          <w:rFonts w:hint="eastAsia" w:ascii="仿宋" w:hAnsi="仿宋" w:eastAsia="仿宋" w:cs="仿宋"/>
          <w:sz w:val="28"/>
          <w:szCs w:val="21"/>
          <w:lang w:val="en-US" w:eastAsia="zh-CN"/>
        </w:rPr>
        <w:t>步：数据可视化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sz w:val="2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1OWY0NGI0YzM3NTI1YmNmMzBlZTU5MDM2MDE2ZTcifQ=="/>
  </w:docVars>
  <w:rsids>
    <w:rsidRoot w:val="00000000"/>
    <w:rsid w:val="17707EEC"/>
    <w:rsid w:val="497D5A5F"/>
    <w:rsid w:val="7F76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ordWrap w:val="0"/>
      <w:topLinePunct/>
      <w:adjustRightInd w:val="0"/>
      <w:snapToGrid w:val="0"/>
      <w:spacing w:after="120" w:afterLines="50" w:line="360" w:lineRule="auto"/>
      <w:ind w:firstLine="480" w:firstLineChars="200"/>
      <w:jc w:val="both"/>
    </w:pPr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365</Characters>
  <Paragraphs>11</Paragraphs>
  <TotalTime>33</TotalTime>
  <ScaleCrop>false</ScaleCrop>
  <LinksUpToDate>false</LinksUpToDate>
  <CharactersWithSpaces>367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2022-11-29T02:45:00Z</dcterms:created>
  <dc:creator>Administrator</dc:creator>
  <cp:lastModifiedBy>86199</cp:lastModifiedBy>
  <dcterms:modified xsi:type="dcterms:W3CDTF">2023-05-19T10:01:24Z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0984cab615b64e6a9ace63d4c01f4312_23</vt:lpwstr>
  </property>
</Properties>
</file>