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软件需求规格说明书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文档名称：基于深度学习的城市共享单车调度需求预测与运维管理平台</w:t>
        <w:br/>
        <w:t>项目承担人：刘岩</w:t>
        <w:br/>
        <w:t>版本号：V3.2（教师建议整合完整版）</w:t>
        <w:br/>
      </w:r>
      <w:r>
        <w:rPr>
          <w:rFonts w:eastAsia="等线" w:ascii="Arial" w:cs="Arial" w:hAnsi="Arial"/>
          <w:sz w:val="22"/>
        </w:rPr>
        <w:t>制定日期：2026 年 4 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 引言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本文档旨在明确 “基于深度学习的城市共享单车调度需求预测与运维管理平台” 的功能性需求与非功能性需求。文档服务于项目开发组、测试组及指导教师，作为后续架构设计、编码实现、测试验收的唯一依据。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本需求文档侧重于描述系统必须完成的目标（What），而非具体的算法实现细节（How）。预测模型内部结构（如 LSTM 变体、BP 神经网络、Attention 机制、TCN 等）的调整与选型，属于设计阶段的优化范畴。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本系统已处于生产验收阶段，文档中第 7 章规定的 “项目不可变更核心红线” 具有最高约束力，任何后续开发、修改、测试均不得突破这些红线。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项目背景与目标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当前共享单车运营中供需时空失衡、调度依赖人工经验、数据可视化程度低等问题，本项目已开发完成一套集多源数据处理、智能时序预测、动态调度生成、可视化监控于一体的运维管理平台。系统以燕山大学校园为微缩城市场景，实现了从数据采集到调度执行的全业务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数据源方案说明</w:t>
      </w:r>
      <w:r>
        <w:rPr>
          <w:rFonts w:eastAsia="等线" w:ascii="Arial" w:cs="Arial" w:hAnsi="Arial"/>
          <w:sz w:val="22"/>
        </w:rPr>
        <w:t>：针对教师提出的 “真实数据使用” 建议，本项目已采用方案二：将华盛顿 Kaggle Capital Bikeshare 真实骑行订单通过 1:1 地理映射平移到燕山大学 62 个停车点。该方案既保留了真实骑行数据的时序规律与统计特征，又实现了在燕大校园地图上的可视化呈现，已在系统中完整实施并作为不可变更红线（红线 2）冻结。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本系统覆盖数据处理、需求预测、运维调度及系统管理四大核心业务领域。系统业务主体固定为燕山大学校园内 62 个停车点，全局车辆总数固定为 1200 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 总体描述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产品视角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 B/S 架构，前端基于 ECharts 实现可视化渲染与地图标记，后端基于 Django 框架提供业务逻辑与 RESTful API 接口。系统已具备完整的生产运行能力，核心数据流依赖华盛顿真实骑行数据的地理映射。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用户角色定义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核心需求关注点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 RBAC 权限分配、系统基础参数配置、数据备份与恢复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系统稳定性、多用户权限隔离、操作日志审计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负责数据源查看、预测模型效果评估与版本对比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数据预览、预测准确率指标验证、报表导出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运维调度员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负责查看实时调度工单、跟踪车辆库存状态、执行人工调度任务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热力图刷新速度、调度任务实时性、地图交互流畅度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运行环境约束</w:t>
      </w:r>
      <w:bookmarkEnd w:id="7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响应时间：数据可视化图表（热力图 / 折线图）初次加载及 10 秒轮询刷新时间 ≤ 3 秒。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并发支持：支持至少 20 个虚拟用户并发访问，无死锁或 SQLite 锁冲突。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数据安全：用户敏感操作日志及核心配置数据需加密存储或进行哈希校验。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 具体功能需求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模块一：多源数据处理子系统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验收标准（含红线校验）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REQ-DATA-01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外部数据映射与读取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系统必须基于华盛顿 Kaggle Capital Bikeshare 真实骑行订单，通过 1:1 地理映射逻辑生成燕山大学 62 个停车点的小时级核心数据集（ysu_62_stations_hourly_core_dataset.csv）。系统需具备对该数据集的只读解析能力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成功读取 62 个站点的小时级数据；</w:t>
              <w:br/>
              <w:t>2. 红线校验：数据源路径固定，禁止加载任何随机模拟数据；</w:t>
              <w:br/>
            </w:r>
            <w:r>
              <w:rPr>
                <w:rFonts w:eastAsia="等线" w:ascii="Arial" w:cs="Arial" w:hAnsi="Arial"/>
                <w:sz w:val="22"/>
              </w:rPr>
              <w:t>3. 红线校验：站点数量固定为 62 个，ysu_id 不可变更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REQ-DATA-02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气象数据时间关联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系统需具备按小时级时间戳将骑行记录与外部天气数据（温度、湿度、风速、天气现象编码）进行精确左连接融合的能力（该能力已在数据集构建阶段完成）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融合后的数据表中，每一笔骑行记录旁应正确显示该小时对应的气象指标数据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REQ-DATA-03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时序特征工程构建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系统需自动对原始时间戳字段进行衍生计算，提取特征列（小时、星期几、是否工作日 / 节假日标志）。数据预处理流程必须保留真实骑行数据的原始时序规律与统计特征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预处理后的数据输出文件中，必须包含 “hour_of_day”、“day_of_week”、“is_holiday” 字段；</w:t>
              <w:br/>
            </w:r>
            <w:r>
              <w:rPr>
                <w:rFonts w:eastAsia="等线" w:ascii="Arial" w:cs="Arial" w:hAnsi="Arial"/>
                <w:sz w:val="22"/>
              </w:rPr>
              <w:t>2. 红线校验：不得对原始映射数据的业务逻辑（如净流量正负值）进行篡改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模块二：智能需求预测子系统（核心模块）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验收标准（含红线校验）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REQ-PRED-01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 小时多步时序预测能力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深度学习模型必须严格遵循「过去 48 小时时序数据输入，预测未来 48 小时净流量」的滑窗样本构建逻辑。模型单次推理输出未来连续 48 小时的净流量预测序列。</w:t>
              <w:br/>
            </w:r>
            <w:r>
              <w:rPr>
                <w:rFonts w:eastAsia="等线" w:ascii="Arial" w:cs="Arial" w:hAnsi="Arial"/>
                <w:sz w:val="22"/>
              </w:rPr>
              <w:t>注：该 48 步输出用于前端趋势图表展示及库存轨迹推演，但模型预测质量的评估与验收仅针对第一个预测值（T+1 小时）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调用模型预测 API，返回数据结构为包含 48 个浮点数的数组（对应 T+1 至 T+48 净流量）；</w:t>
              <w:br/>
              <w:t>2. 红线校验：输入特征窗口长度固定为 48 小时；</w:t>
              <w:br/>
            </w:r>
            <w:r>
              <w:rPr>
                <w:rFonts w:eastAsia="等线" w:ascii="Arial" w:cs="Arial" w:hAnsi="Arial"/>
                <w:sz w:val="22"/>
              </w:rPr>
              <w:t>3. 质量评估：模型验收时，仅计算 T+1 小时预测值与真实值的误差指标（MAE、RMSE、R²），其余 47 个预测值不纳入模型是否达标的考核范围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REQ-PRED-01-1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下一小时即时调度预测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[核心业务需求]</w:t>
              <w:br/>
              <w:t>系统必须能够基于 T 时刻之前 48 小时的历史序列，计算并提取预测输出序列中的第一个值（即 T+1 小时），作为各停车区域下一小时的净流量预测值。</w:t>
              <w:br/>
            </w:r>
            <w:r>
              <w:rPr>
                <w:rFonts w:eastAsia="等线" w:ascii="Arial" w:cs="Arial" w:hAnsi="Arial"/>
                <w:sz w:val="22"/>
              </w:rPr>
              <w:t>该 T+1 预测值是触发自动调度工单生成的唯一决策依据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前端调度面板醒目位置展示 T+1 小时预测值；</w:t>
              <w:br/>
              <w:t>2. 调度任务生成模块仅取预测数组索引 [0] 的值进行缺口计算；</w:t>
              <w:br/>
              <w:t>3. 红线校验：调度决策逻辑中不得使用 T+2 及之后的预测值；</w:t>
              <w:br/>
            </w:r>
            <w:r>
              <w:rPr>
                <w:rFonts w:eastAsia="等线" w:ascii="Arial" w:cs="Arial" w:hAnsi="Arial"/>
                <w:sz w:val="22"/>
              </w:rPr>
              <w:t>4. 质量保障：T+1 小时预测准确率（基于测试集真实骑行数据验证）需不低于 85%（针对净流量绝对值 &gt; 0 的时段统计）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REQ-PRED-02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数据集时序切分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数据集必须严格按时间顺序以 7:2:1 的比例切分为训练集、验证集、测试集。切分时必须设置 shuffle=False，测试集固定为时间维度最靠后的一段数据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模型训练日志中显示训练 / 验证 / 测试样本数符合 7:2:1 比例；</w:t>
              <w:br/>
            </w:r>
            <w:r>
              <w:rPr>
                <w:rFonts w:eastAsia="等线" w:ascii="Arial" w:cs="Arial" w:hAnsi="Arial"/>
                <w:sz w:val="22"/>
              </w:rPr>
              <w:t>2. 红线校验：代码审查确认切分逻辑未使用随机打乱，杜绝时序穿越问题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REQ-PRED-03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预测结果回溯对比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前端需以折线图形式展示历史真实值 vs 历史预测值的拟合曲线，并计算核心评估指标（R²、RMSE、MAE）展示在图表副标题区域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鼠标悬停图表时，需弹出浮窗显示该时刻的具体真实值与预测值差异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REQ-PRED-04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模型资产与版本管理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系统后台需加载生产环境指定的模型资产（bike_sharing_lstm_model.keras 与 scaler.pkl）。允许在不破坏现有业务闭环的前提下，通过后台配置切换不同版本的模型文件进行效果对比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系统启动时成功加载指定路径的模型文件；</w:t>
              <w:br/>
            </w:r>
            <w:r>
              <w:rPr>
                <w:rFonts w:eastAsia="等线" w:ascii="Arial" w:cs="Arial" w:hAnsi="Arial"/>
                <w:sz w:val="22"/>
              </w:rPr>
              <w:t>2. 红线校验：现有生产模型资产文件路径及名称不可变更，新增模型仅可并行放置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模块三：智能调度与运维子系统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验收标准（含红线校验）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调度任务自动生成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基于各站点实时库存量与 T+1 小时预测净流量的差值（Gap），自动生成调度工单。算法需基于运输问题求解盈余站点与缺口站点的最优匹配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在系统模拟高峰期运行时，调度任务列表自动产生未处理的调度建议工单；</w:t>
              <w:br/>
            </w:r>
            <w:r>
              <w:rPr>
                <w:rFonts w:eastAsia="等线" w:ascii="Arial" w:cs="Arial" w:hAnsi="Arial"/>
                <w:sz w:val="22"/>
              </w:rPr>
              <w:t>2. 红线校验：调度计算前后，全局车辆总数必须严格保持为 1200 辆，任何调度方案不得导致全局车辆增减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供需热力图渲染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基于现有地图库与 62 个站点固定经纬度，展示停车点空间分布，并以红（匮乏）、黄（预警）、绿（充足）动态渲染站点状态图标。现有 UI 风格、地图标记样式、配色方案绝对不可更改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切换地图层级或拖拽地图时，页面帧率不低于 30fps；</w:t>
              <w:br/>
            </w:r>
            <w:r>
              <w:rPr>
                <w:rFonts w:eastAsia="等线" w:ascii="Arial" w:cs="Arial" w:hAnsi="Arial"/>
                <w:sz w:val="22"/>
              </w:rPr>
              <w:t>2. 红线校验：地图上仅显示且必须显示 62 个固定站点，不可新增或隐藏站点标记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人工调度与校验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系统必须提供完整的手动调度功能入口，允许运维调度员在以下场景下主动创建调度任务：</w:t>
              <w:br/>
              <w:t>1. 自动调度建议未被采纳时的替代方案；</w:t>
              <w:br/>
              <w:t>2. 应对预测未覆盖的突发需求；</w:t>
              <w:br/>
              <w:t>3. 车辆故障批量转运等特殊运维场景。</w:t>
              <w:br/>
            </w:r>
            <w:r>
              <w:rPr>
                <w:rFonts w:eastAsia="等线" w:ascii="Arial" w:cs="Arial" w:hAnsi="Arial"/>
                <w:sz w:val="22"/>
              </w:rPr>
              <w:t>手动调度任务与自动调度任务共用同一任务管理流程。系统必须在创建前执行严格的前置校验：起点终点不同、调运量 &gt; 0、全局车辆总数守恒（1200 辆）、起点库存充足、终点容量充足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运维调度员可在调度页面点击 “创建手动调度” 按钮，填写起点、终点、调运量后提交；</w:t>
              <w:br/>
              <w:t>2. 校验失败时，前端返回明确的拒绝原因（如 “库存不足” 或 “超出容量”）；</w:t>
              <w:br/>
              <w:t>3. 创建成功后，任务出现在调度任务列表中，状态为 “待分配”；</w:t>
              <w:br/>
            </w:r>
            <w:r>
              <w:rPr>
                <w:rFonts w:eastAsia="等线" w:ascii="Arial" w:cs="Arial" w:hAnsi="Arial"/>
                <w:sz w:val="22"/>
              </w:rPr>
              <w:t>4. 红线校验：任何试图突破 1200 辆守恒的非法请求必须被拦截并记录日志；手动调度不得绕过任何红线校验逻辑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车辆全生命周期管理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系统需维护全局 1200 辆车辆的状态（正常 / 故障）。支持故障上报并生成运维工单。系统需具备自动校验机制：若车辆总数偏离 1200 辆，应自动触发修复对齐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数据库车辆表记录数恒为 1200；</w:t>
              <w:br/>
            </w:r>
            <w:r>
              <w:rPr>
                <w:rFonts w:eastAsia="等线" w:ascii="Arial" w:cs="Arial" w:hAnsi="Arial"/>
                <w:sz w:val="22"/>
              </w:rPr>
              <w:t>2. 红线校验：车辆新增 / 删除接口必须禁用，仅允许状态变更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停车点实时车辆数直接展示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[教师建议新增]</w:t>
              <w:br/>
              <w:t>在地图可视化页面中，每个停车点的地图标记（Marker）上或其紧邻位置，必须直接显示该站点当前的实时停放车辆数量，无需用户点击站点即可一目了然地获取库存信息。</w:t>
              <w:br/>
            </w:r>
            <w:r>
              <w:rPr>
                <w:rFonts w:eastAsia="等线" w:ascii="Arial" w:cs="Arial" w:hAnsi="Arial"/>
                <w:sz w:val="22"/>
              </w:rPr>
              <w:t>显示样式需与现有地图标记风格协调，不破坏整体视觉效果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地图加载完成后，所有 62 个站点标记上均可见实时车辆数（如数字标注或气泡）；</w:t>
              <w:br/>
              <w:t>2. 数值随 10 秒轮询自动刷新，与站点详情面板数据一致；</w:t>
              <w:br/>
            </w:r>
            <w:r>
              <w:rPr>
                <w:rFonts w:eastAsia="等线" w:ascii="Arial" w:cs="Arial" w:hAnsi="Arial"/>
                <w:sz w:val="22"/>
              </w:rPr>
              <w:t>3. 红线校验：显示逻辑不得修改现有地图标记的经纬度、颜色逻辑（红黄绿）和站点数量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供需情况表格 / 柱状图并列视图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[教师建议新增]</w:t>
              <w:br/>
              <w:t>在供需热力图页面中，除地图可视化区域外，必须新增一个并列的数据视图区域，以表格或柱状图形式列出全部 62 个停车点的供需状态信息。</w:t>
              <w:br/>
              <w:t>视图需至少包含：站点名称、当前库存、可用泊位、供需状态（匮乏 / 预警 / 充足）、T+1 预测净流量。</w:t>
              <w:br/>
            </w:r>
            <w:r>
              <w:rPr>
                <w:rFonts w:eastAsia="等线" w:ascii="Arial" w:cs="Arial" w:hAnsi="Arial"/>
                <w:sz w:val="22"/>
              </w:rPr>
              <w:t>用户可点击表头排序（如按库存升序 / 降序），点击表格行可联动定位地图中的对应站点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供需热力图页面布局调整为 “左侧地图 / 右侧数据视图” 或 “上方地图 / 下方数据视图”，不遮挡地图关键区域；</w:t>
              <w:br/>
              <w:t>2. 右侧 / 下方视图以表格（默认）或柱状图（可切换）形式展示全部 62 个站点信息；</w:t>
              <w:br/>
              <w:t>3. 表格数据随 10 秒轮询刷新；</w:t>
              <w:br/>
              <w:t>4. 点击表格行时，地图自动平移到对应站点并高亮标记；</w:t>
              <w:br/>
            </w:r>
            <w:r>
              <w:rPr>
                <w:rFonts w:eastAsia="等线" w:ascii="Arial" w:cs="Arial" w:hAnsi="Arial"/>
                <w:sz w:val="22"/>
              </w:rPr>
              <w:t>5. 红线校验：新增视图不得修改现有地图渲染逻辑与配色方案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车辆状态与位置查询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[教师建议新增 —— 基础运维功能增强]</w:t>
              <w:br/>
              <w:t>系统必须提供车辆粒度的状态查看与位置追踪功能，至少满足：</w:t>
              <w:br/>
              <w:t>1. 车辆列表页：分页展示全局 1200 辆车的唯一标识、当前所在站点名称、状态（正常 / 故障 / 调度中）、最后上报时间；</w:t>
              <w:br/>
              <w:t>2. 支持按站点筛选、按状态筛选；</w:t>
              <w:br/>
              <w:t>3. 点击某车辆可查看其历史轨迹（最近 N 次站点变更记录）；</w:t>
              <w:br/>
            </w:r>
            <w:r>
              <w:rPr>
                <w:rFonts w:eastAsia="等线" w:ascii="Arial" w:cs="Arial" w:hAnsi="Arial"/>
                <w:sz w:val="22"/>
              </w:rPr>
              <w:t>4. 支持将故障车辆标记为 “待维修”，并自动生成运维工单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车辆管理页面可正常访问，列表正确展示 1200 条车辆记录；</w:t>
              <w:br/>
              <w:t>2. 筛选功能响应时间 &lt; 2 秒；</w:t>
              <w:br/>
              <w:t>3. 车辆详情页可查看该车辆最近 10 次站点变更的时间与位置；</w:t>
              <w:br/>
              <w:t>4. 故障标记操作触发工单生成，工单中关联该车辆 ID；</w:t>
              <w:br/>
            </w:r>
            <w:r>
              <w:rPr>
                <w:rFonts w:eastAsia="等线" w:ascii="Arial" w:cs="Arial" w:hAnsi="Arial"/>
                <w:sz w:val="22"/>
              </w:rPr>
              <w:t>5. 红线校验：车辆总数恒为 1200，不得提供车辆新增 / 删除入口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3.4 模块四：系统支撑与报表子系统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验收标准（含红线校验）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REQ-SYS-01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RBAC 权限控制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实现基于角色的访问控制。运维调度员仅能访问 “调度监控面板” 与 “工单列表”，严禁访问 “模型训练参数配置” 及 “数据源管理” 页面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使用非授权角色 Token 请求后端敏感接口时，系统应返回 HTTP 403 Forbidden 状态码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REQ-SYS-02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业务数据导出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支持将预测结果报表、调度任务完成记录导出为标准 Excel（.xlsx）或 CSV 格式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导出的文件中包含正确的中文列名，日期时间格式符合 “YYYY-MM-DD HH:MM” 规范，无乱码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REQ-SYS-03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秒轮询与并发锁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系统前端需维持 10 秒自动刷新机制。后端必须保留现有的 SQLite 串行锁逻辑与 10 秒桶快照缓存机制，确保在高频读写下不发生 database is locked 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打开多个浏览器 Tab，系统运行 10 分钟内无数据库锁报错；</w:t>
              <w:br/>
            </w:r>
            <w:r>
              <w:rPr>
                <w:rFonts w:eastAsia="等线" w:ascii="Arial" w:cs="Arial" w:hAnsi="Arial"/>
                <w:sz w:val="22"/>
              </w:rPr>
              <w:t>2. 红线校验：不得修改现有轮询频率与锁机制核心代码逻辑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 非功能性需求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性能需求</w:t>
      </w:r>
      <w:bookmarkEnd w:id="1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模型推理时延：单次 48 小时预测 API 调用（含特征向量组装时间）的响应时间 &lt; 1000ms。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前端渲染性能：包含 62 个停车点的地图图层首次加载并渲染完毕的时间 ≤ 3s。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实时刷新稳定性：10 秒轮询机制下，后端快照生成耗时需 &lt; 500ms。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可扩展性与适应性</w:t>
      </w:r>
      <w:bookmarkEnd w:id="1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算法无关性设计：预测模块的接口契约必须遵循 “输入为历史 48 小时滑动窗口特征向量，输出为未来 48 小时净流量数组” 的规范。模块内部的具体网络结构（如 RNN、LSTM、GRU、TCN、Attention 等）调整不应导致前端 UI 重构或调度算法重写。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一致性：所有新增功能模块必须完全复用现有的 CSS 样式、ECharts 配色主题与地图渲染逻辑。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可用性</w:t>
      </w:r>
      <w:bookmarkEnd w:id="1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加载状态反馈：任何耗时超过 500ms 的操作（如数据导出、预测计算），界面必须显示明确的加载动画或进度条。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异常处理机制：针对预测失败（如传入数据含空值、网络超时）的情况，需给出业务友好的错误提示（如：“数据异常，预测服务暂时不可用”），严禁在前端直接暴露 Python 底层异常堆栈信息。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 模型预测质量评估规则补充说明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尽管预测模型输出未来 48 小时的完整序列，但本系统的核心业务闭环仅依赖 T+1 小时的预测精度。因此，在衡量模型是否满足系统性能要求时，仅以测试集上 T+1 小时预测值与真实值的误差指标作为判定依据。其余 47 个预测值的误差仅作为辅助分析参考，不作为模型验收的强制性指标。此规则与红线 4（时序数据处理逻辑不可更改）完全兼容 —— 模型的输入输出维度保持不变，仅调整评估口径。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 数据需求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数据实体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站点主数据表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ysu_id (固定 1-62)、站点名称、经纬度、最大容量、初始库存、预警阈值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红线约束：记录数固定 62 条，禁止增删改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骑行记录表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 ID、起始时间、结束时间、起点站点 ID、终点站点 ID、用户类型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数据来源：华盛顿真实骑行数据 1:1 地理映射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气象关联表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时间戳（小时级）、温度、体感温度、湿度、风速、天气图标代码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已与骑行记录按小时粒度融合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预测结果表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区域网格 ID (对应 ysu_id)、预测基准时间、目标预测时段、预测净流量、模型版本号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用于库存轨迹推演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调度任务表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任务编号、调度车辆数、起始站点 ID、目标站点 ID、任务状态、创建时间、执行人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状态流转：待分配 -&gt; 执行中 -&gt; 已完成 / 已取消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车辆唯一编码、当前所在站点 ID、状态（正常 / 故障 / 调度中）、最后上报时间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红线约束：总记录数恒为 1200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 需求变更与迭代策略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本项目已进入生产验收与文档归档阶段。后续所有工作必须严格遵守第 7 章 “项目不可变更核心红线”。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模型选型优化：允许在不破坏现有业务闭环的前提下，并行训练新模型（如加入 Attention 机制）并进行离线指标对比。如需替换生产模型，仅允许通过修改配置文件指向新模型路径的方式进行，不得删除或覆盖原有生产模型资产。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功能适配开发：任何新增功能必须基于现有 62 站点、1200 辆守恒、48 小时滑窗逻辑进行适配性开发，严禁触碰红线边界。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7 项目不可变更核心红线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本章节为本文档的最高优先级约束。任何后续开发、测试、部署、维护活动，均不得突破以下七条红线。若发生冲突，以本章节规定为准。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红线 1：停车点主体不可变更规则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项目全程固定以燕山大学 62 个校园停车点为唯一业务主体。62 个停车点的基础信息（包括但不限于唯一标识 ysu_id、站点名称、经纬度、最大容纳量）绝对不可新增、删减、修改。所有功能开发、模型训练、调度逻辑、可视化展示均必须围绕这 62 个固定停车点展开。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红线 2：数据源不可变更规则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项目所有模型训练、功能验证、业务逻辑运算，必须使用华盛顿 Kaggle Capital Bikeshare 真实骑行订单 1:1 地理映射后的燕山大学 62 站点小时级核心数据集（ysu_62_stations_hourly_core_dataset.csv）。全程禁止使用随机生成的模拟数据、非映射的虚假数据。必须保留真实骑行数据的原始时序规律与统计特征，不得篡改原始映射数据的业务逻辑。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红线 3：全局车辆守恒不可突破规则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平台内共享单车全局总数固定为 1200 辆。任何调度操作、库存变动、模拟运算、业务逻辑都绝对不可改变全局车辆总数。禁止出现站点库存为负、车辆数超出站点最大容纳量、全局车辆总数增减的逻辑漏洞。所有调度相关功能必须以该规则为前置校验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红线 4：时序数据处理逻辑不可更改规则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需求预测模块必须严格遵循「过去 48 小时时序数据输入，预测未来 48 小时净流量」的滑窗样本构建逻辑。数据集必须严格按时间顺序 7:2:1 切分为训练集、验证集、测试集，切分时必须设置 shuffle=False，测试集固定为时间维度最靠后的一段数据。绝对禁止随机切分，杜绝时序穿越问题。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红线 5：现有 UI 与地图特色不可更改规则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现有工程已验收通过的 UI 风格、页面布局、配色方案、地图渲染方式、62 个站点地图标记样式、供需热力图展示逻辑、ECharts 图表风格绝对不可更改、重构。所有新增功能必须完全适配现有视觉与交互设计，不得破坏现有前端界面的完整性与一致性。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红线 6：现有生产业务闭环不可破坏规则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现有系统已验收通过的 10 秒自动刷新机制、SQLite 串行锁逻辑、后端业务接口、生产模型资产（bike_sharing_lstm_model.keras/scaler.pkl）、已规范归档的所有文档，绝对不可修改、重构。所有新增开发内容仅可做适配性对接，不得破坏现有系统的业务闭环与运行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红线 7：技术中立性不可变更规则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本文档仅明确系统需达成的业务目标、性能指标与验收标准，不限定预测模型的具体算法实现细节。为模型架构优化（包括但不限于 LSTM 变体、加入自注意力机制、TCN 时序卷积网络等）保留合规的设计空间，不强制限定单一模型架构。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附录 A：教师建议回应与实施状态追踪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教师建议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对应需求编号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方案二：真实数据映射到燕大地图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红线 2、REQ-DATA-01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已实施并冻结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华盛顿数据 1:1 映射为燕大 62 站点小时级数据集，作为唯一数据源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方案一（保留华盛顿地图展示）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不实施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与红线 1（62 站点固定）及红线 5（现有地图风格不可变）冲突，且教师建议中已接受方案二，故不采用方案一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手动调度功能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已存在并强化描述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原系统已有人工调度能力，本次在需求文档中明确其与自动调度的并列地位及完整校验链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停车点直接显示实时车辆数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作为功能增强需求纳入本次版本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供需表格 / 柱状图并列视图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作为可视化增强需求纳入本次版本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车辆状态、位置等基础运维功能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REQ-OP-07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作为运维功能完善需求纳入本次版本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附录 B：文档修订历史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4 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初始版本，基于任务书与开题报告建立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4 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修正预测时长描述，明确时序输入要求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4 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新增第 7 章核心红线，全文档嵌入红线校验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4 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 T+1 评估口径，区分模型输出与调度决策依赖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V3.2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 4 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整合教师建议，新增 REQ-OP-05/06/07，强化 REQ-OP-03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刘岩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使用说明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</w:t>
      </w:r>
      <w:r>
        <w:rPr>
          <w:rFonts w:eastAsia="等线" w:ascii="Arial" w:cs="Arial" w:hAnsi="Arial"/>
          <w:b w:val="true"/>
          <w:sz w:val="22"/>
        </w:rPr>
        <w:t>全选复制本文内容</w:t>
      </w:r>
      <w:r>
        <w:rPr>
          <w:rFonts w:eastAsia="等线" w:ascii="Arial" w:cs="Arial" w:hAnsi="Arial"/>
          <w:sz w:val="22"/>
        </w:rPr>
        <w:t>，粘贴到 Microsoft Word 中即可自动适配排版；</w:t>
        <w:br/>
      </w:r>
      <w:r>
        <w:rPr>
          <w:rFonts w:eastAsia="等线" w:ascii="Arial" w:cs="Arial" w:hAnsi="Arial"/>
          <w:sz w:val="22"/>
        </w:rPr>
        <w:t>可直接设置毕设标准格式：</w:t>
      </w:r>
      <w:r>
        <w:rPr>
          <w:rFonts w:eastAsia="等线" w:ascii="Arial" w:cs="Arial" w:hAnsi="Arial"/>
          <w:b w:val="true"/>
          <w:sz w:val="22"/>
        </w:rPr>
        <w:t>正文宋体小四、1.5 倍行距、标题加粗</w:t>
      </w:r>
      <w:r>
        <w:rPr>
          <w:rFonts w:eastAsia="等线" w:ascii="Arial" w:cs="Arial" w:hAnsi="Arial"/>
          <w:sz w:val="22"/>
        </w:rPr>
        <w:t>，无需调整结构，可直接用于毕设归档与答辩。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555">
    <w:lvl>
      <w:start w:val="1"/>
      <w:numFmt w:val="decimal"/>
      <w:suff w:val="tab"/>
      <w:lvlText w:val="%1."/>
      <w:rPr>
        <w:color w:val="3370ff"/>
      </w:rPr>
    </w:lvl>
  </w:abstractNum>
  <w:abstractNum w:abstractNumId="138556">
    <w:lvl>
      <w:start w:val="2"/>
      <w:numFmt w:val="decimal"/>
      <w:suff w:val="tab"/>
      <w:lvlText w:val="%1."/>
      <w:rPr>
        <w:color w:val="3370ff"/>
      </w:rPr>
    </w:lvl>
  </w:abstractNum>
  <w:abstractNum w:abstractNumId="138557">
    <w:lvl>
      <w:numFmt w:val="bullet"/>
      <w:suff w:val="tab"/>
      <w:lvlText w:val="•"/>
      <w:rPr>
        <w:color w:val="3370ff"/>
      </w:rPr>
    </w:lvl>
  </w:abstractNum>
  <w:abstractNum w:abstractNumId="138558">
    <w:lvl>
      <w:numFmt w:val="bullet"/>
      <w:suff w:val="tab"/>
      <w:lvlText w:val="•"/>
      <w:rPr>
        <w:color w:val="3370ff"/>
      </w:rPr>
    </w:lvl>
  </w:abstractNum>
  <w:abstractNum w:abstractNumId="138559">
    <w:lvl>
      <w:numFmt w:val="bullet"/>
      <w:suff w:val="tab"/>
      <w:lvlText w:val="•"/>
      <w:rPr>
        <w:color w:val="3370ff"/>
      </w:rPr>
    </w:lvl>
  </w:abstractNum>
  <w:abstractNum w:abstractNumId="138560">
    <w:lvl>
      <w:numFmt w:val="bullet"/>
      <w:suff w:val="tab"/>
      <w:lvlText w:val="•"/>
      <w:rPr>
        <w:color w:val="3370ff"/>
      </w:rPr>
    </w:lvl>
  </w:abstractNum>
  <w:abstractNum w:abstractNumId="138561">
    <w:lvl>
      <w:numFmt w:val="bullet"/>
      <w:suff w:val="tab"/>
      <w:lvlText w:val="•"/>
      <w:rPr>
        <w:color w:val="3370ff"/>
      </w:rPr>
    </w:lvl>
  </w:abstractNum>
  <w:abstractNum w:abstractNumId="138562">
    <w:lvl>
      <w:numFmt w:val="bullet"/>
      <w:suff w:val="tab"/>
      <w:lvlText w:val="•"/>
      <w:rPr>
        <w:color w:val="3370ff"/>
      </w:rPr>
    </w:lvl>
  </w:abstractNum>
  <w:abstractNum w:abstractNumId="138563">
    <w:lvl>
      <w:numFmt w:val="bullet"/>
      <w:suff w:val="tab"/>
      <w:lvlText w:val="•"/>
      <w:rPr>
        <w:color w:val="3370ff"/>
      </w:rPr>
    </w:lvl>
  </w:abstractNum>
  <w:abstractNum w:abstractNumId="138564">
    <w:lvl>
      <w:numFmt w:val="bullet"/>
      <w:suff w:val="tab"/>
      <w:lvlText w:val="•"/>
      <w:rPr>
        <w:color w:val="3370ff"/>
      </w:rPr>
    </w:lvl>
  </w:abstractNum>
  <w:abstractNum w:abstractNumId="138565">
    <w:lvl>
      <w:numFmt w:val="bullet"/>
      <w:suff w:val="tab"/>
      <w:lvlText w:val="•"/>
      <w:rPr>
        <w:color w:val="3370ff"/>
      </w:rPr>
    </w:lvl>
  </w:abstractNum>
  <w:abstractNum w:abstractNumId="138566">
    <w:lvl>
      <w:numFmt w:val="bullet"/>
      <w:suff w:val="tab"/>
      <w:lvlText w:val="•"/>
      <w:rPr>
        <w:color w:val="3370ff"/>
      </w:rPr>
    </w:lvl>
  </w:abstractNum>
  <w:abstractNum w:abstractNumId="138567">
    <w:lvl>
      <w:start w:val="1"/>
      <w:numFmt w:val="decimal"/>
      <w:suff w:val="tab"/>
      <w:lvlText w:val="%1."/>
      <w:rPr>
        <w:color w:val="3370ff"/>
      </w:rPr>
    </w:lvl>
  </w:abstractNum>
  <w:abstractNum w:abstractNumId="13856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8555"/>
  </w:num>
  <w:num w:numId="2">
    <w:abstractNumId w:val="138556"/>
  </w:num>
  <w:num w:numId="3">
    <w:abstractNumId w:val="138557"/>
  </w:num>
  <w:num w:numId="4">
    <w:abstractNumId w:val="138558"/>
  </w:num>
  <w:num w:numId="5">
    <w:abstractNumId w:val="138559"/>
  </w:num>
  <w:num w:numId="6">
    <w:abstractNumId w:val="138560"/>
  </w:num>
  <w:num w:numId="7">
    <w:abstractNumId w:val="138561"/>
  </w:num>
  <w:num w:numId="8">
    <w:abstractNumId w:val="138562"/>
  </w:num>
  <w:num w:numId="9">
    <w:abstractNumId w:val="138563"/>
  </w:num>
  <w:num w:numId="10">
    <w:abstractNumId w:val="138564"/>
  </w:num>
  <w:num w:numId="11">
    <w:abstractNumId w:val="138565"/>
  </w:num>
  <w:num w:numId="12">
    <w:abstractNumId w:val="138566"/>
  </w:num>
  <w:num w:numId="13">
    <w:abstractNumId w:val="138567"/>
  </w:num>
  <w:num w:numId="14">
    <w:abstractNumId w:val="1385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2026-04-16T17:57:33Z</dcterms:created>
  <dc:creator>Apache POI</dc:creator>
</cp:coreProperties>
</file>