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4AE7" w14:textId="77777777" w:rsidR="0036792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SRS V3.2 </w:t>
      </w:r>
      <w:r>
        <w:rPr>
          <w:rFonts w:ascii="Arial" w:eastAsia="等线" w:hAnsi="Arial" w:cs="Arial"/>
          <w:b/>
          <w:sz w:val="52"/>
        </w:rPr>
        <w:t>实现偏差说明及设计依据</w:t>
      </w:r>
    </w:p>
    <w:p w14:paraId="697F235B" w14:textId="77777777" w:rsidR="003679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文档名称</w:t>
      </w:r>
      <w:r>
        <w:rPr>
          <w:rFonts w:ascii="Arial" w:eastAsia="等线" w:hAnsi="Arial" w:cs="Arial"/>
        </w:rPr>
        <w:t>：基于深度学习的城市共享单车调度需求预测与运维管理平台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实现偏差说明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关联主文档</w:t>
      </w:r>
      <w:r>
        <w:rPr>
          <w:rFonts w:ascii="Arial" w:eastAsia="等线" w:hAnsi="Arial" w:cs="Arial"/>
        </w:rPr>
        <w:t>：《软件需求规格说明书</w:t>
      </w:r>
      <w:r>
        <w:rPr>
          <w:rFonts w:ascii="Arial" w:eastAsia="等线" w:hAnsi="Arial" w:cs="Arial"/>
        </w:rPr>
        <w:t xml:space="preserve"> V3.2</w:t>
      </w:r>
      <w:r>
        <w:rPr>
          <w:rFonts w:ascii="Arial" w:eastAsia="等线" w:hAnsi="Arial" w:cs="Arial"/>
        </w:rPr>
        <w:t>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撰写人</w:t>
      </w:r>
      <w:r>
        <w:rPr>
          <w:rFonts w:ascii="Arial" w:eastAsia="等线" w:hAnsi="Arial" w:cs="Arial"/>
        </w:rPr>
        <w:t>：刘岩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月</w:t>
      </w:r>
    </w:p>
    <w:p w14:paraId="4D7C570A" w14:textId="77777777" w:rsidR="00367926" w:rsidRDefault="0036792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623F393" w14:textId="77777777" w:rsidR="0036792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引言</w:t>
      </w:r>
      <w:bookmarkEnd w:id="0"/>
    </w:p>
    <w:p w14:paraId="1C44192F" w14:textId="77777777" w:rsidR="003679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本文档用于说明系统在满足《软件需求规格说明书</w:t>
      </w:r>
      <w:r>
        <w:rPr>
          <w:rFonts w:ascii="Arial" w:eastAsia="等线" w:hAnsi="Arial" w:cs="Arial"/>
        </w:rPr>
        <w:t xml:space="preserve"> V3.2</w:t>
      </w:r>
      <w:r>
        <w:rPr>
          <w:rFonts w:ascii="Arial" w:eastAsia="等线" w:hAnsi="Arial" w:cs="Arial"/>
        </w:rPr>
        <w:t>》全部功能需求与七条核心红线的前提下，对部分非约束性实现细节所做的优化调整。所有调整均源于对真实数据分布、业务场景合理性及毕设答辩可解释性的综合考量，</w:t>
      </w:r>
      <w:r>
        <w:rPr>
          <w:rFonts w:ascii="Arial" w:eastAsia="等线" w:hAnsi="Arial" w:cs="Arial"/>
          <w:b/>
        </w:rPr>
        <w:t>未对</w:t>
      </w:r>
      <w:r>
        <w:rPr>
          <w:rFonts w:ascii="Arial" w:eastAsia="等线" w:hAnsi="Arial" w:cs="Arial"/>
          <w:b/>
        </w:rPr>
        <w:t xml:space="preserve"> SRS </w:t>
      </w:r>
      <w:r>
        <w:rPr>
          <w:rFonts w:ascii="Arial" w:eastAsia="等线" w:hAnsi="Arial" w:cs="Arial"/>
          <w:b/>
        </w:rPr>
        <w:t>中规定的任何验收标准构成破坏，未触碰任何一条核心红线</w:t>
      </w:r>
      <w:r>
        <w:rPr>
          <w:rFonts w:ascii="Arial" w:eastAsia="等线" w:hAnsi="Arial" w:cs="Arial"/>
        </w:rPr>
        <w:t>。</w:t>
      </w:r>
    </w:p>
    <w:p w14:paraId="7B86DE30" w14:textId="77777777" w:rsidR="00367926" w:rsidRDefault="0036792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006C789" w14:textId="77777777" w:rsidR="0036792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主要实现偏差及设计依据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367926" w14:paraId="6DBAFB0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17C0F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0225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偏差项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43D8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SRS </w:t>
            </w:r>
            <w:r>
              <w:rPr>
                <w:rFonts w:ascii="Arial" w:eastAsia="等线" w:hAnsi="Arial" w:cs="Arial"/>
              </w:rPr>
              <w:t>相关描述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39FB7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实际实现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1F0D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设计依据</w:t>
            </w:r>
          </w:p>
        </w:tc>
      </w:tr>
      <w:tr w:rsidR="00367926" w14:paraId="55E3B6C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3C6C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BEE4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供需状态分类档数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31DB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REQ-OP-02 </w:t>
            </w:r>
            <w:r>
              <w:rPr>
                <w:rFonts w:ascii="Arial" w:eastAsia="等线" w:hAnsi="Arial" w:cs="Arial"/>
              </w:rPr>
              <w:t>要求以红黄绿动态渲染站点状态，未规定具体状态数量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8704F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从最初设计的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档（严重匮乏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轻度匮乏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平衡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轻度饱和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严重饱和）调整为</w:t>
            </w:r>
            <w:r>
              <w:rPr>
                <w:rFonts w:ascii="Arial" w:eastAsia="等线" w:hAnsi="Arial" w:cs="Arial"/>
                <w:b/>
              </w:rPr>
              <w:t xml:space="preserve">9 </w:t>
            </w:r>
            <w:r>
              <w:rPr>
                <w:rFonts w:ascii="Arial" w:eastAsia="等线" w:hAnsi="Arial" w:cs="Arial"/>
                <w:b/>
              </w:rPr>
              <w:t>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40B1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基于真实数据集分析（</w:t>
            </w:r>
            <w:r>
              <w:rPr>
                <w:rFonts w:ascii="Arial" w:eastAsia="等线" w:hAnsi="Arial" w:cs="Arial"/>
              </w:rPr>
              <w:t>explore_state\[_schemes.py](_schemes.py)</w:t>
            </w:r>
            <w:r>
              <w:rPr>
                <w:rFonts w:ascii="Arial" w:eastAsia="等线" w:hAnsi="Arial" w:cs="Arial"/>
              </w:rPr>
              <w:t>），</w:t>
            </w:r>
            <w:r>
              <w:rPr>
                <w:rFonts w:ascii="Arial" w:eastAsia="等线" w:hAnsi="Arial" w:cs="Arial"/>
              </w:rPr>
              <w:t xml:space="preserve">5 </w:t>
            </w:r>
            <w:r>
              <w:rPr>
                <w:rFonts w:ascii="Arial" w:eastAsia="等线" w:hAnsi="Arial" w:cs="Arial"/>
              </w:rPr>
              <w:t>档方案分类准确率高达</w:t>
            </w:r>
            <w:r>
              <w:rPr>
                <w:rFonts w:ascii="Arial" w:eastAsia="等线" w:hAnsi="Arial" w:cs="Arial"/>
              </w:rPr>
              <w:t xml:space="preserve"> 94%</w:t>
            </w:r>
            <w:r>
              <w:rPr>
                <w:rFonts w:ascii="Arial" w:eastAsia="等线" w:hAnsi="Arial" w:cs="Arial"/>
              </w:rPr>
              <w:t>，易被质疑任务过于简单；</w:t>
            </w:r>
            <w:r>
              <w:rPr>
                <w:rFonts w:ascii="Arial" w:eastAsia="等线" w:hAnsi="Arial" w:cs="Arial"/>
              </w:rPr>
              <w:t xml:space="preserve">9 </w:t>
            </w:r>
            <w:r>
              <w:rPr>
                <w:rFonts w:ascii="Arial" w:eastAsia="等线" w:hAnsi="Arial" w:cs="Arial"/>
              </w:rPr>
              <w:t>档方案准确率为</w:t>
            </w:r>
            <w:r>
              <w:rPr>
                <w:rFonts w:ascii="Arial" w:eastAsia="等线" w:hAnsi="Arial" w:cs="Arial"/>
              </w:rPr>
              <w:t xml:space="preserve"> 89.08%</w:t>
            </w:r>
            <w:r>
              <w:rPr>
                <w:rFonts w:ascii="Arial" w:eastAsia="等线" w:hAnsi="Arial" w:cs="Arial"/>
              </w:rPr>
              <w:t>，在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业务可解释性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技术挑</w:t>
            </w:r>
            <w:r>
              <w:rPr>
                <w:rFonts w:ascii="Arial" w:eastAsia="等线" w:hAnsi="Arial" w:cs="Arial"/>
              </w:rPr>
              <w:lastRenderedPageBreak/>
              <w:t>战性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之间达到更优平衡。</w:t>
            </w:r>
            <w:r>
              <w:rPr>
                <w:rFonts w:ascii="Arial" w:eastAsia="等线" w:hAnsi="Arial" w:cs="Arial"/>
              </w:rPr>
              <w:br/>
              <w:t xml:space="preserve">2. 9 </w:t>
            </w:r>
            <w:r>
              <w:rPr>
                <w:rFonts w:ascii="Arial" w:eastAsia="等线" w:hAnsi="Arial" w:cs="Arial"/>
              </w:rPr>
              <w:t>档划分仍严格基于各站点自身的</w:t>
            </w:r>
            <w:r>
              <w:rPr>
                <w:rFonts w:ascii="Arial" w:eastAsia="等线" w:hAnsi="Arial" w:cs="Arial"/>
              </w:rPr>
              <w:t xml:space="preserve"> low_warning_threshold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high_warning_threshold</w:t>
            </w:r>
            <w:r>
              <w:rPr>
                <w:rFonts w:ascii="Arial" w:eastAsia="等线" w:hAnsi="Arial" w:cs="Arial"/>
              </w:rPr>
              <w:t>，通过等比例扩展形成更精细的库存梯度，符合实际运维对库存状态的细粒度感知需求。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该调整属于算法实现细节，符合红线</w:t>
            </w:r>
            <w:r>
              <w:rPr>
                <w:rFonts w:ascii="Arial" w:eastAsia="等线" w:hAnsi="Arial" w:cs="Arial"/>
              </w:rPr>
              <w:t xml:space="preserve"> 7</w:t>
            </w:r>
            <w:r>
              <w:rPr>
                <w:rFonts w:ascii="Arial" w:eastAsia="等线" w:hAnsi="Arial" w:cs="Arial"/>
              </w:rPr>
              <w:t>（技术中立性）</w:t>
            </w:r>
          </w:p>
        </w:tc>
      </w:tr>
      <w:tr w:rsidR="00367926" w14:paraId="5EBFDD5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6FC5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7A7FE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站点最大容量限制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4836E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数据需求中站点主数据表包含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最大容量</w:t>
            </w:r>
            <w:r>
              <w:rPr>
                <w:rFonts w:ascii="Arial" w:eastAsia="等线" w:hAnsi="Arial" w:cs="Arial"/>
              </w:rPr>
              <w:t>字段，但未强制要求硬性校验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2E9BB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系统不再对单站点库存执行</w:t>
            </w:r>
            <w:r>
              <w:rPr>
                <w:rFonts w:ascii="Arial" w:eastAsia="等线" w:hAnsi="Arial" w:cs="Arial"/>
              </w:rPr>
              <w:t xml:space="preserve"> inventory ≤ max_capacity </w:t>
            </w:r>
            <w:r>
              <w:rPr>
                <w:rFonts w:ascii="Arial" w:eastAsia="等线" w:hAnsi="Arial" w:cs="Arial"/>
              </w:rPr>
              <w:t>的硬性截断，允许库存超过名义容量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6B72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校园真实停车点无物理围栏或严格车位限制，车辆数动态超出容量是常见现象，硬性截断不符合业务实际。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状态分类方案已将超过高预警阈值的车辆标记为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严重饱和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，足以支撑调度决策。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全局车辆守恒（</w:t>
            </w:r>
            <w:r>
              <w:rPr>
                <w:rFonts w:ascii="Arial" w:eastAsia="等线" w:hAnsi="Arial" w:cs="Arial"/>
              </w:rPr>
              <w:t xml:space="preserve">1200 </w:t>
            </w:r>
            <w:r>
              <w:rPr>
                <w:rFonts w:ascii="Arial" w:eastAsia="等线" w:hAnsi="Arial" w:cs="Arial"/>
              </w:rPr>
              <w:lastRenderedPageBreak/>
              <w:t>辆）与单站点库存非负约束仍然严格执行，未突破红线</w:t>
            </w:r>
            <w:r>
              <w:rPr>
                <w:rFonts w:ascii="Arial" w:eastAsia="等线" w:hAnsi="Arial" w:cs="Arial"/>
              </w:rPr>
              <w:t xml:space="preserve"> 3</w:t>
            </w:r>
          </w:p>
        </w:tc>
      </w:tr>
      <w:tr w:rsidR="00367926" w14:paraId="7A6B59E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A2B4B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9EEF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预测趋势图表展示方式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D03A1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REQ-PRED-03 </w:t>
            </w:r>
            <w:r>
              <w:rPr>
                <w:rFonts w:ascii="Arial" w:eastAsia="等线" w:hAnsi="Arial" w:cs="Arial"/>
              </w:rPr>
              <w:t>要求展示历史真实值与预测值的拟合曲线，未强制聚合或单站形式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0FD6F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将首页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当日骑行小时趋势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重点站点与未来趋势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等聚合图表替换为</w:t>
            </w:r>
            <w:r>
              <w:rPr>
                <w:rFonts w:ascii="Arial" w:eastAsia="等线" w:hAnsi="Arial" w:cs="Arial"/>
                <w:b/>
              </w:rPr>
              <w:t>单站点</w:t>
            </w:r>
            <w:r>
              <w:rPr>
                <w:rFonts w:ascii="Arial" w:eastAsia="等线" w:hAnsi="Arial" w:cs="Arial"/>
                <w:b/>
              </w:rPr>
              <w:t xml:space="preserve"> 48 </w:t>
            </w:r>
            <w:r>
              <w:rPr>
                <w:rFonts w:ascii="Arial" w:eastAsia="等线" w:hAnsi="Arial" w:cs="Arial"/>
                <w:b/>
              </w:rPr>
              <w:t>小时预测趋势图</w:t>
            </w:r>
            <w:r>
              <w:rPr>
                <w:rFonts w:ascii="Arial" w:eastAsia="等线" w:hAnsi="Arial" w:cs="Arial"/>
              </w:rPr>
              <w:t>，并增加站点选择器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76785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本系统核心业务逻辑是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以站点为单位的</w:t>
            </w:r>
            <w:r>
              <w:rPr>
                <w:rFonts w:ascii="Arial" w:eastAsia="等线" w:hAnsi="Arial" w:cs="Arial"/>
              </w:rPr>
              <w:t xml:space="preserve"> T+1 </w:t>
            </w:r>
            <w:r>
              <w:rPr>
                <w:rFonts w:ascii="Arial" w:eastAsia="等线" w:hAnsi="Arial" w:cs="Arial"/>
              </w:rPr>
              <w:t>预测驱动调度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，聚合所有站点的趋势对单个站点的运维决策无指导意义。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单站点趋势图能清晰展示该站点的预测净流量与库存轨迹，直观验证模型对单点规律的捕捉能力。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预测页面同步增加了站点切换功能，保留了全站点预测数据表，未减少信息量</w:t>
            </w:r>
          </w:p>
        </w:tc>
      </w:tr>
      <w:tr w:rsidR="00367926" w14:paraId="452C6E6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47458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18D4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10 </w:t>
            </w:r>
            <w:r>
              <w:rPr>
                <w:rFonts w:ascii="Arial" w:eastAsia="等线" w:hAnsi="Arial" w:cs="Arial"/>
              </w:rPr>
              <w:t>秒刷新机制细节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5415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REQ-SYS-03 </w:t>
            </w:r>
            <w:r>
              <w:rPr>
                <w:rFonts w:ascii="Arial" w:eastAsia="等线" w:hAnsi="Arial" w:cs="Arial"/>
              </w:rPr>
              <w:t>要求前端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秒轮询，后端有快照缓存与串行锁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8604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在快照生成逻辑中引入</w:t>
            </w:r>
            <w:r>
              <w:rPr>
                <w:rFonts w:ascii="Arial" w:eastAsia="等线" w:hAnsi="Arial" w:cs="Arial"/>
                <w:b/>
              </w:rPr>
              <w:t>线性插值</w:t>
            </w:r>
            <w:r>
              <w:rPr>
                <w:rFonts w:ascii="Arial" w:eastAsia="等线" w:hAnsi="Arial" w:cs="Arial"/>
              </w:rPr>
              <w:t>：站点实时库存</w:t>
            </w:r>
            <w:r>
              <w:rPr>
                <w:rFonts w:ascii="Arial" w:eastAsia="等线" w:hAnsi="Arial" w:cs="Arial"/>
              </w:rPr>
              <w:t xml:space="preserve"> = </w:t>
            </w:r>
            <w:r>
              <w:rPr>
                <w:rFonts w:ascii="Arial" w:eastAsia="等线" w:hAnsi="Arial" w:cs="Arial"/>
              </w:rPr>
              <w:t>当前小时库存</w:t>
            </w:r>
            <w:r>
              <w:rPr>
                <w:rFonts w:ascii="Arial" w:eastAsia="等线" w:hAnsi="Arial" w:cs="Arial"/>
              </w:rPr>
              <w:t xml:space="preserve"> + (</w:t>
            </w:r>
            <w:r>
              <w:rPr>
                <w:rFonts w:ascii="Arial" w:eastAsia="等线" w:hAnsi="Arial" w:cs="Arial"/>
              </w:rPr>
              <w:t>下一小时库存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当前小时库存</w:t>
            </w:r>
            <w:r>
              <w:rPr>
                <w:rFonts w:ascii="Arial" w:eastAsia="等线" w:hAnsi="Arial" w:cs="Arial"/>
              </w:rPr>
              <w:t xml:space="preserve">) × </w:t>
            </w:r>
            <w:r>
              <w:rPr>
                <w:rFonts w:ascii="Arial" w:eastAsia="等线" w:hAnsi="Arial" w:cs="Arial"/>
              </w:rPr>
              <w:t>插值比</w:t>
            </w:r>
            <w:r>
              <w:rPr>
                <w:rFonts w:ascii="Arial" w:eastAsia="等线" w:hAnsi="Arial" w:cs="Arial"/>
              </w:rPr>
              <w:lastRenderedPageBreak/>
              <w:t>率，比率每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秒递增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1FDF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原实现每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秒直接切换至下一小时数据，造成库存跳变剧烈，不符合真实场景中流量的连续变化特征。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lastRenderedPageBreak/>
              <w:t xml:space="preserve">2. </w:t>
            </w:r>
            <w:r>
              <w:rPr>
                <w:rFonts w:ascii="Arial" w:eastAsia="等线" w:hAnsi="Arial" w:cs="Arial"/>
              </w:rPr>
              <w:t>插值方案在不改变小时级预测数据源的前提下，使库存变化平滑自然，同时保证一小时内累计变化量仍等于预测净流量。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插值后通过再平衡算法确保全局</w:t>
            </w:r>
            <w:r>
              <w:rPr>
                <w:rFonts w:ascii="Arial" w:eastAsia="等线" w:hAnsi="Arial" w:cs="Arial"/>
              </w:rPr>
              <w:t xml:space="preserve"> 1200 </w:t>
            </w:r>
            <w:r>
              <w:rPr>
                <w:rFonts w:ascii="Arial" w:eastAsia="等线" w:hAnsi="Arial" w:cs="Arial"/>
              </w:rPr>
              <w:t>守恒，红线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与红线</w:t>
            </w:r>
            <w:r>
              <w:rPr>
                <w:rFonts w:ascii="Arial" w:eastAsia="等线" w:hAnsi="Arial" w:cs="Arial"/>
              </w:rPr>
              <w:t xml:space="preserve"> 6 </w:t>
            </w:r>
            <w:r>
              <w:rPr>
                <w:rFonts w:ascii="Arial" w:eastAsia="等线" w:hAnsi="Arial" w:cs="Arial"/>
              </w:rPr>
              <w:t>未受影响</w:t>
            </w:r>
          </w:p>
        </w:tc>
      </w:tr>
      <w:tr w:rsidR="00367926" w14:paraId="7040380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333D6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8637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地图站点标记样式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1ADEB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REQ-OP-05 </w:t>
            </w:r>
            <w:r>
              <w:rPr>
                <w:rFonts w:ascii="Arial" w:eastAsia="等线" w:hAnsi="Arial" w:cs="Arial"/>
              </w:rPr>
              <w:t>要求直接显示实时车辆数；</w:t>
            </w:r>
            <w:r>
              <w:rPr>
                <w:rFonts w:ascii="Arial" w:eastAsia="等线" w:hAnsi="Arial" w:cs="Arial"/>
              </w:rPr>
              <w:t xml:space="preserve">REQ-OP-02 </w:t>
            </w:r>
            <w:r>
              <w:rPr>
                <w:rFonts w:ascii="Arial" w:eastAsia="等线" w:hAnsi="Arial" w:cs="Arial"/>
              </w:rPr>
              <w:t>要求动态着色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9E438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增大地图标记尺寸（</w:t>
            </w:r>
            <w:r>
              <w:rPr>
                <w:rFonts w:ascii="Arial" w:eastAsia="等线" w:hAnsi="Arial" w:cs="Arial"/>
              </w:rPr>
              <w:t>36px → 44px</w:t>
            </w:r>
            <w:r>
              <w:rPr>
                <w:rFonts w:ascii="Arial" w:eastAsia="等线" w:hAnsi="Arial" w:cs="Arial"/>
              </w:rPr>
              <w:t>）与车辆数字体（</w:t>
            </w:r>
            <w:r>
              <w:rPr>
                <w:rFonts w:ascii="Arial" w:eastAsia="等线" w:hAnsi="Arial" w:cs="Arial"/>
              </w:rPr>
              <w:t>13px → 14px</w:t>
            </w:r>
            <w:r>
              <w:rPr>
                <w:rFonts w:ascii="Arial" w:eastAsia="等线" w:hAnsi="Arial" w:cs="Arial"/>
              </w:rPr>
              <w:t>）；采用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/>
              </w:rPr>
              <w:t>档状态配色方案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F5A3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原标记在答辩投屏时不易辨认，增大尺寸为可用性优化，未改变</w:t>
            </w:r>
            <w:r>
              <w:rPr>
                <w:rFonts w:ascii="Arial" w:eastAsia="等线" w:hAnsi="Arial" w:cs="Arial"/>
              </w:rPr>
              <w:t xml:space="preserve"> UI </w:t>
            </w:r>
            <w:r>
              <w:rPr>
                <w:rFonts w:ascii="Arial" w:eastAsia="等线" w:hAnsi="Arial" w:cs="Arial"/>
              </w:rPr>
              <w:t>风格（红线</w:t>
            </w:r>
            <w:r>
              <w:rPr>
                <w:rFonts w:ascii="Arial" w:eastAsia="等线" w:hAnsi="Arial" w:cs="Arial"/>
              </w:rPr>
              <w:t xml:space="preserve"> 5</w:t>
            </w:r>
            <w:r>
              <w:rPr>
                <w:rFonts w:ascii="Arial" w:eastAsia="等线" w:hAnsi="Arial" w:cs="Arial"/>
              </w:rPr>
              <w:t>）。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颜色逻辑从硬编码阈值升级为与状态分类模块联动，确保了可视化与业务状态的一致性</w:t>
            </w:r>
          </w:p>
        </w:tc>
      </w:tr>
      <w:tr w:rsidR="00367926" w14:paraId="1092D09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EE6E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4F144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验收措辞调整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887C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无对应条款，属于界面文案规范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8BB29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移除前端页面及报告中所有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满足毕设要求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等自我评价性文字，改为客观数据展示（如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分类</w:t>
            </w:r>
            <w:r>
              <w:rPr>
                <w:rFonts w:ascii="Arial" w:eastAsia="等线" w:hAnsi="Arial" w:cs="Arial"/>
              </w:rPr>
              <w:lastRenderedPageBreak/>
              <w:t>准确率：</w:t>
            </w:r>
            <w:r>
              <w:rPr>
                <w:rFonts w:ascii="Arial" w:eastAsia="等线" w:hAnsi="Arial" w:cs="Arial"/>
              </w:rPr>
              <w:t>89.08%”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03FC" w14:textId="77777777" w:rsidR="0036792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遵循学术文档与工程报告的客观性原则，避免主观论断，由评委或教师根据指标自行判断</w:t>
            </w:r>
          </w:p>
        </w:tc>
      </w:tr>
    </w:tbl>
    <w:p w14:paraId="6B57DB15" w14:textId="77777777" w:rsidR="00367926" w:rsidRDefault="0036792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47CAC5E" w14:textId="77777777" w:rsidR="0036792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红线合规性声明</w:t>
      </w:r>
      <w:bookmarkEnd w:id="2"/>
    </w:p>
    <w:p w14:paraId="5DED4FD0" w14:textId="77777777" w:rsidR="003679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上述所有偏差均经过严格的自查与自动化脚本（</w:t>
      </w:r>
      <w:r>
        <w:rPr>
          <w:rFonts w:ascii="Arial" w:eastAsia="等线" w:hAnsi="Arial" w:cs="Arial"/>
        </w:rPr>
        <w:t>verify_srs\[_compliance.py](_compliance.py)</w:t>
      </w:r>
      <w:r>
        <w:rPr>
          <w:rFonts w:ascii="Arial" w:eastAsia="等线" w:hAnsi="Arial" w:cs="Arial"/>
        </w:rPr>
        <w:t>）验证，</w:t>
      </w:r>
      <w:r>
        <w:rPr>
          <w:rFonts w:ascii="Arial" w:eastAsia="等线" w:hAnsi="Arial" w:cs="Arial"/>
          <w:b/>
        </w:rPr>
        <w:t>未违反</w:t>
      </w:r>
      <w:r>
        <w:rPr>
          <w:rFonts w:ascii="Arial" w:eastAsia="等线" w:hAnsi="Arial" w:cs="Arial"/>
        </w:rPr>
        <w:t>《软件需求规格说明书</w:t>
      </w:r>
      <w:r>
        <w:rPr>
          <w:rFonts w:ascii="Arial" w:eastAsia="等线" w:hAnsi="Arial" w:cs="Arial"/>
        </w:rPr>
        <w:t xml:space="preserve"> V3.2</w:t>
      </w:r>
      <w:r>
        <w:rPr>
          <w:rFonts w:ascii="Arial" w:eastAsia="等线" w:hAnsi="Arial" w:cs="Arial"/>
        </w:rPr>
        <w:t>》第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章中任何一条核心红线：</w:t>
      </w:r>
    </w:p>
    <w:p w14:paraId="741BCB35" w14:textId="77777777" w:rsidR="0036792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 xml:space="preserve">62 </w:t>
      </w:r>
      <w:r>
        <w:rPr>
          <w:rFonts w:ascii="Arial" w:eastAsia="等线" w:hAnsi="Arial" w:cs="Arial"/>
          <w:b/>
        </w:rPr>
        <w:t>站点固定）</w:t>
      </w:r>
      <w:r>
        <w:rPr>
          <w:rFonts w:ascii="Arial" w:eastAsia="等线" w:hAnsi="Arial" w:cs="Arial"/>
        </w:rPr>
        <w:t>：站点数量、主键、经纬度未做任何修改。</w:t>
      </w:r>
    </w:p>
    <w:p w14:paraId="694F98A0" w14:textId="77777777" w:rsidR="0036792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（数据源固定）</w:t>
      </w:r>
      <w:r>
        <w:rPr>
          <w:rFonts w:ascii="Arial" w:eastAsia="等线" w:hAnsi="Arial" w:cs="Arial"/>
        </w:rPr>
        <w:t>：始终使用华盛顿映射数据集，未引入模拟数据。</w:t>
      </w:r>
    </w:p>
    <w:p w14:paraId="2D9F3361" w14:textId="77777777" w:rsidR="0036792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3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 xml:space="preserve">1200 </w:t>
      </w:r>
      <w:r>
        <w:rPr>
          <w:rFonts w:ascii="Arial" w:eastAsia="等线" w:hAnsi="Arial" w:cs="Arial"/>
          <w:b/>
        </w:rPr>
        <w:t>辆守恒）</w:t>
      </w:r>
      <w:r>
        <w:rPr>
          <w:rFonts w:ascii="Arial" w:eastAsia="等线" w:hAnsi="Arial" w:cs="Arial"/>
        </w:rPr>
        <w:t>：插值与调度前后均通过再平衡保证守恒，校验脚本通过。</w:t>
      </w:r>
    </w:p>
    <w:p w14:paraId="4F82D060" w14:textId="77777777" w:rsidR="0036792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4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 xml:space="preserve">48→48 </w:t>
      </w:r>
      <w:r>
        <w:rPr>
          <w:rFonts w:ascii="Arial" w:eastAsia="等线" w:hAnsi="Arial" w:cs="Arial"/>
          <w:b/>
        </w:rPr>
        <w:t>时序逻辑）</w:t>
      </w:r>
      <w:r>
        <w:rPr>
          <w:rFonts w:ascii="Arial" w:eastAsia="等线" w:hAnsi="Arial" w:cs="Arial"/>
        </w:rPr>
        <w:t>：模型输入输出维度未变，数据切分仍为时序顺序。</w:t>
      </w:r>
    </w:p>
    <w:p w14:paraId="6880DF4B" w14:textId="77777777" w:rsidR="0036792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5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 xml:space="preserve">UI </w:t>
      </w:r>
      <w:r>
        <w:rPr>
          <w:rFonts w:ascii="Arial" w:eastAsia="等线" w:hAnsi="Arial" w:cs="Arial"/>
          <w:b/>
        </w:rPr>
        <w:t>与地图风格）</w:t>
      </w:r>
      <w:r>
        <w:rPr>
          <w:rFonts w:ascii="Arial" w:eastAsia="等线" w:hAnsi="Arial" w:cs="Arial"/>
        </w:rPr>
        <w:t>：仅调整标记尺寸与配色（仍基于</w:t>
      </w:r>
      <w:r>
        <w:rPr>
          <w:rFonts w:ascii="Arial" w:eastAsia="等线" w:hAnsi="Arial" w:cs="Arial"/>
        </w:rPr>
        <w:t xml:space="preserve"> ECharts </w:t>
      </w:r>
      <w:r>
        <w:rPr>
          <w:rFonts w:ascii="Arial" w:eastAsia="等线" w:hAnsi="Arial" w:cs="Arial"/>
        </w:rPr>
        <w:t>主题），布局未变。</w:t>
      </w:r>
    </w:p>
    <w:p w14:paraId="33033A15" w14:textId="77777777" w:rsidR="0036792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6</w:t>
      </w:r>
      <w:r>
        <w:rPr>
          <w:rFonts w:ascii="Arial" w:eastAsia="等线" w:hAnsi="Arial" w:cs="Arial"/>
          <w:b/>
        </w:rPr>
        <w:t>（生产业务闭环）</w:t>
      </w:r>
      <w:r>
        <w:rPr>
          <w:rFonts w:ascii="Arial" w:eastAsia="等线" w:hAnsi="Arial" w:cs="Arial"/>
        </w:rPr>
        <w:t>：原生产模型资产文件未覆盖，</w:t>
      </w:r>
      <w:r>
        <w:rPr>
          <w:rFonts w:ascii="Arial" w:eastAsia="等线" w:hAnsi="Arial" w:cs="Arial"/>
        </w:rPr>
        <w:t xml:space="preserve">10 </w:t>
      </w:r>
      <w:r>
        <w:rPr>
          <w:rFonts w:ascii="Arial" w:eastAsia="等线" w:hAnsi="Arial" w:cs="Arial"/>
        </w:rPr>
        <w:t>秒轮询与锁机制未重构。</w:t>
      </w:r>
    </w:p>
    <w:p w14:paraId="1DD7F872" w14:textId="77777777" w:rsidR="0036792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红线</w:t>
      </w:r>
      <w:r>
        <w:rPr>
          <w:rFonts w:ascii="Arial" w:eastAsia="等线" w:hAnsi="Arial" w:cs="Arial"/>
          <w:b/>
        </w:rPr>
        <w:t xml:space="preserve"> 7</w:t>
      </w:r>
      <w:r>
        <w:rPr>
          <w:rFonts w:ascii="Arial" w:eastAsia="等线" w:hAnsi="Arial" w:cs="Arial"/>
          <w:b/>
        </w:rPr>
        <w:t>（技术中立）</w:t>
      </w:r>
      <w:r>
        <w:rPr>
          <w:rFonts w:ascii="Arial" w:eastAsia="等线" w:hAnsi="Arial" w:cs="Arial"/>
        </w:rPr>
        <w:t>：未在需求文档中强制限定算法。</w:t>
      </w:r>
    </w:p>
    <w:p w14:paraId="0162E577" w14:textId="77777777" w:rsidR="00367926" w:rsidRDefault="0036792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A09B49C" w14:textId="77777777" w:rsidR="0036792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结论</w:t>
      </w:r>
      <w:bookmarkEnd w:id="3"/>
    </w:p>
    <w:p w14:paraId="7162AF38" w14:textId="77777777" w:rsidR="003679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本次系统实现阶段对状态分类档数、容量校验策略、图表聚合方式、刷新插值算法等细节的优化，均是在严格遵循</w:t>
      </w:r>
      <w:r>
        <w:rPr>
          <w:rFonts w:ascii="Arial" w:eastAsia="等线" w:hAnsi="Arial" w:cs="Arial"/>
        </w:rPr>
        <w:t xml:space="preserve"> SRS </w:t>
      </w:r>
      <w:r>
        <w:rPr>
          <w:rFonts w:ascii="Arial" w:eastAsia="等线" w:hAnsi="Arial" w:cs="Arial"/>
        </w:rPr>
        <w:t>功能边界与红线约束下的</w:t>
      </w:r>
      <w:r>
        <w:rPr>
          <w:rFonts w:ascii="Arial" w:eastAsia="等线" w:hAnsi="Arial" w:cs="Arial"/>
          <w:b/>
        </w:rPr>
        <w:t>工程调优</w:t>
      </w:r>
      <w:r>
        <w:rPr>
          <w:rFonts w:ascii="Arial" w:eastAsia="等线" w:hAnsi="Arial" w:cs="Arial"/>
        </w:rPr>
        <w:t>。这些调整提升了系统的真实性、可用性与答辩说服力，且未对验收标准构成任何形式的降级。系统当前状态完全符合</w:t>
      </w:r>
      <w:r>
        <w:rPr>
          <w:rFonts w:ascii="Arial" w:eastAsia="等线" w:hAnsi="Arial" w:cs="Arial"/>
        </w:rPr>
        <w:t xml:space="preserve"> SRS V3.2 </w:t>
      </w:r>
      <w:r>
        <w:rPr>
          <w:rFonts w:ascii="Arial" w:eastAsia="等线" w:hAnsi="Arial" w:cs="Arial"/>
        </w:rPr>
        <w:t>的全部要求。</w:t>
      </w:r>
    </w:p>
    <w:p w14:paraId="71E8E7E2" w14:textId="77777777" w:rsidR="00367926" w:rsidRDefault="0036792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BED71D1" w14:textId="09D9D785" w:rsidR="00367926" w:rsidRDefault="00367926">
      <w:pPr>
        <w:spacing w:before="120" w:after="120" w:line="288" w:lineRule="auto"/>
        <w:rPr>
          <w:rFonts w:hint="eastAsia"/>
        </w:rPr>
      </w:pPr>
    </w:p>
    <w:sectPr w:rsidR="0036792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3D0E" w14:textId="77777777" w:rsidR="00E82411" w:rsidRDefault="00E824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EB692B" w14:textId="77777777" w:rsidR="00E82411" w:rsidRDefault="00E824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B326" w14:textId="77777777" w:rsidR="00367926" w:rsidRDefault="0036792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AE4DC" w14:textId="77777777" w:rsidR="00E82411" w:rsidRDefault="00E824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348AA0" w14:textId="77777777" w:rsidR="00E82411" w:rsidRDefault="00E824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DB54" w14:textId="77777777" w:rsidR="00367926" w:rsidRDefault="0036792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977"/>
    <w:multiLevelType w:val="multilevel"/>
    <w:tmpl w:val="FBA8EA3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AE1B3E"/>
    <w:multiLevelType w:val="multilevel"/>
    <w:tmpl w:val="A01E4B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EF6BD1"/>
    <w:multiLevelType w:val="multilevel"/>
    <w:tmpl w:val="F1B431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D62525B"/>
    <w:multiLevelType w:val="multilevel"/>
    <w:tmpl w:val="7070F7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2C33C0"/>
    <w:multiLevelType w:val="multilevel"/>
    <w:tmpl w:val="F03008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447737C"/>
    <w:multiLevelType w:val="multilevel"/>
    <w:tmpl w:val="67DE04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D7F155E"/>
    <w:multiLevelType w:val="multilevel"/>
    <w:tmpl w:val="C8E6BD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D17936"/>
    <w:multiLevelType w:val="multilevel"/>
    <w:tmpl w:val="B57278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7050FB"/>
    <w:multiLevelType w:val="multilevel"/>
    <w:tmpl w:val="F3489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F4C5B1B"/>
    <w:multiLevelType w:val="multilevel"/>
    <w:tmpl w:val="EBF6C81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7144933">
    <w:abstractNumId w:val="1"/>
  </w:num>
  <w:num w:numId="2" w16cid:durableId="1287198023">
    <w:abstractNumId w:val="6"/>
  </w:num>
  <w:num w:numId="3" w16cid:durableId="284780227">
    <w:abstractNumId w:val="4"/>
  </w:num>
  <w:num w:numId="4" w16cid:durableId="1577394794">
    <w:abstractNumId w:val="2"/>
  </w:num>
  <w:num w:numId="5" w16cid:durableId="812524323">
    <w:abstractNumId w:val="5"/>
  </w:num>
  <w:num w:numId="6" w16cid:durableId="1777214681">
    <w:abstractNumId w:val="9"/>
  </w:num>
  <w:num w:numId="7" w16cid:durableId="902252852">
    <w:abstractNumId w:val="0"/>
  </w:num>
  <w:num w:numId="8" w16cid:durableId="793906207">
    <w:abstractNumId w:val="8"/>
  </w:num>
  <w:num w:numId="9" w16cid:durableId="1605577811">
    <w:abstractNumId w:val="7"/>
  </w:num>
  <w:num w:numId="10" w16cid:durableId="1091004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926"/>
    <w:rsid w:val="00293C09"/>
    <w:rsid w:val="00367926"/>
    <w:rsid w:val="00BE64BE"/>
    <w:rsid w:val="00E8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20012B"/>
  <w15:docId w15:val="{E5333785-9F66-40D1-8B00-E601F2B2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1043</Words>
  <Characters>1212</Characters>
  <Application>Microsoft Office Word</Application>
  <DocSecurity>0</DocSecurity>
  <Lines>151</Lines>
  <Paragraphs>57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liuyan</cp:lastModifiedBy>
  <cp:revision>2</cp:revision>
  <dcterms:created xsi:type="dcterms:W3CDTF">2026-04-20T05:01:00Z</dcterms:created>
  <dcterms:modified xsi:type="dcterms:W3CDTF">2026-04-20T05:01:00Z</dcterms:modified>
</cp:coreProperties>
</file>