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12529"/>
          <w:sz w:val="36"/>
        </w:rPr>
        <w:t>Informe de Evidencias y Despliegue - Semana 4</w:t>
        <w:br/>
      </w:r>
      <w:r>
        <w:rPr>
          <w:color w:val="6C757D"/>
          <w:sz w:val="22"/>
        </w:rPr>
        <w:t>Desarrollo Frontend I (PFY2201) — Utilizando Bootstrap 5 para el Diseño Responsivo</w:t>
        <w:br/>
        <w:t>Proyecto: Tienda Especializada para Felinos "Felimiau"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FF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Estudiante: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Carolina Delgado</w:t>
            </w:r>
          </w:p>
        </w:tc>
      </w:tr>
      <w:tr>
        <w:tc>
          <w:tcPr>
            <w:tcW w:type="dxa" w:w="3168"/>
            <w:shd w:fill="FFF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Asignatura y Carrera: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Desarrollo Frontend I (PFY2201) - Analista Programador Computacional</w:t>
            </w:r>
          </w:p>
        </w:tc>
      </w:tr>
      <w:tr>
        <w:tc>
          <w:tcPr>
            <w:tcW w:type="dxa" w:w="3168"/>
            <w:shd w:fill="FFF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Patricio Oliva</w:t>
            </w:r>
          </w:p>
        </w:tc>
      </w:tr>
      <w:tr>
        <w:tc>
          <w:tcPr>
            <w:tcW w:type="dxa" w:w="3168"/>
            <w:shd w:fill="FFFB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Fecha de Entrega: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07 de Septiembre de 2026</w:t>
            </w:r>
          </w:p>
        </w:tc>
      </w:tr>
    </w:tbl>
    <w:p>
      <w:pPr>
        <w:spacing w:after="200"/>
      </w:pPr>
    </w:p>
    <w:p>
      <w:pPr>
        <w:keepNext/>
        <w:spacing w:before="320" w:after="80"/>
      </w:pPr>
      <w:r>
        <w:rPr>
          <w:b/>
          <w:color w:val="212529"/>
          <w:sz w:val="28"/>
        </w:rPr>
        <w:t>1. Enlaces del Proyecto en GitHub</w:t>
      </w:r>
    </w:p>
    <w:p>
      <w:r>
        <w:rPr>
          <w:b/>
        </w:rPr>
        <w:t xml:space="preserve">• Repositorio Público en GitHub: </w:t>
      </w:r>
      <w:r>
        <w:t>https://github.com/Lybern/PFY2201_Bootstrap_Semana4</w:t>
        <w:br/>
      </w:r>
      <w:r>
        <w:rPr>
          <w:b/>
        </w:rPr>
        <w:t xml:space="preserve">• Enlace de Despliegue en Vivo (GitHub Pages): </w:t>
      </w:r>
      <w:r>
        <w:t>https://Lybern.github.io/PFY2201_Bootstrap_Semana4/</w:t>
      </w:r>
    </w:p>
    <w:p>
      <w:pPr>
        <w:keepNext/>
        <w:spacing w:before="320" w:after="80"/>
      </w:pPr>
      <w:r>
        <w:rPr>
          <w:b/>
          <w:color w:val="212529"/>
          <w:sz w:val="28"/>
        </w:rPr>
        <w:t>2. Resumen de Componentes y Requisitos Implementados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Componente / Requisito</w:t>
            </w:r>
          </w:p>
        </w:tc>
        <w:tc>
          <w:tcPr>
            <w:tcW w:type="dxa" w:w="321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Implementación en Felimiau</w:t>
            </w:r>
          </w:p>
        </w:tc>
        <w:tc>
          <w:tcPr>
            <w:tcW w:type="dxa" w:w="321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Vinculación de Bootstrap 5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Enlace oficial por CDN a Bootstrap 5.3.3 (CSS en &lt;head&gt; y JS Bundle con Popper antes de cierre de &lt;body&gt;).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Completado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Barra de Navegación (Navbar)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Barra responsiva con clase sticky-top, menú colapsable (botón hamburguesa), dropdown de categorías y buscador.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Completado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Carrusel de Imágenes (Carousel)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Carrusel automático cada 3 segundos (data-bs-interval="3000"), con 3 diapositivas, controles manuales e indicadores.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Completado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Sistema Grid Responsivo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Uso de container, row y clases col-12 (móvil), col-md-6 (tablet) y col-lg-4 (escritorio).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Completado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Tarjetas de Contenido (Cards)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6 tarjetas con etiquetas semánticas &lt;article&gt;, imágenes de productos, badges de categoría, descripciones y precios.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Completado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Semántica y Accesibilidad</w:t>
            </w:r>
          </w:p>
        </w:tc>
        <w:tc>
          <w:tcPr>
            <w:tcW w:type="dxa" w:w="54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Uso de etiquetas &lt;header&gt;, &lt;nav&gt;, &lt;main&gt;, &lt;section&gt;, &lt;article&gt;, &lt;footer&gt;, atributos aria-* y comentarios explicativos.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Completado</w:t>
            </w:r>
          </w:p>
        </w:tc>
      </w:tr>
    </w:tbl>
    <w:p>
      <w:pPr>
        <w:keepNext/>
        <w:spacing w:before="320" w:after="80"/>
      </w:pPr>
      <w:r>
        <w:rPr>
          <w:b/>
          <w:color w:val="212529"/>
          <w:sz w:val="28"/>
        </w:rPr>
        <w:t>3. Evidencias de Responsividad y Despliegue</w:t>
      </w:r>
    </w:p>
    <w:p>
      <w:pPr>
        <w:keepNext/>
        <w:spacing w:before="240" w:after="60"/>
      </w:pPr>
      <w:r>
        <w:rPr>
          <w:b/>
          <w:color w:val="D97706"/>
          <w:sz w:val="23"/>
        </w:rPr>
        <w:t>3.1 Vista en Computadora de Escritorio (Desktop — col-lg-4)</w:t>
      </w:r>
    </w:p>
    <w:p>
      <w:r>
        <w:t>En pantallas grandes de escritorio (ancho ≥ 992px), la barra de navegación se visualiza extendida con todos sus enlaces visibles, el carrusel ocupa el ancho completo y el catálogo de productos se distribuye en 3 columnas por fila (col-lg-4).</w:t>
      </w:r>
    </w:p>
    <w:p>
      <w:pPr>
        <w:spacing w:before="60" w:after="280"/>
      </w:pPr>
      <w:r>
        <w:rPr>
          <w:i/>
          <w:color w:val="646464"/>
          <w:sz w:val="18"/>
        </w:rPr>
        <w:t>Figura 1: Visualización en resolución de escritorio (1366x768px).</w:t>
      </w:r>
    </w:p>
    <w:p>
      <w:pPr>
        <w:keepNext/>
        <w:spacing w:before="240" w:after="60"/>
      </w:pPr>
      <w:r>
        <w:rPr>
          <w:b/>
          <w:color w:val="D97706"/>
          <w:sz w:val="23"/>
        </w:rPr>
        <w:t>3.2 Vista en Tablet (Medium — col-md-6)</w:t>
      </w:r>
    </w:p>
    <w:p>
      <w:r>
        <w:t>En dispositivos de tamaño mediano como tablets (ancho ≥ 768px), el sistema de cuadrículas reorganiza las tarjetas automáticamente a 2 columnas por fila (col-md-6) manteniendo la alineación y el alto parejo con card h-100.</w:t>
      </w:r>
    </w:p>
    <w:p>
      <w:pPr>
        <w:spacing w:before="60" w:after="280"/>
      </w:pPr>
      <w:r>
        <w:rPr>
          <w:i/>
          <w:color w:val="646464"/>
          <w:sz w:val="18"/>
        </w:rPr>
        <w:t>Figura 2: Visualización en resolución de tablet (768x1024px).</w:t>
      </w:r>
    </w:p>
    <w:p>
      <w:pPr>
        <w:keepNext/>
        <w:spacing w:before="240" w:after="60"/>
      </w:pPr>
      <w:r>
        <w:rPr>
          <w:b/>
          <w:color w:val="D97706"/>
          <w:sz w:val="23"/>
        </w:rPr>
        <w:t>3.3 Vista en Dispositivo Móvil (Celular — col-12)</w:t>
      </w:r>
    </w:p>
    <w:p>
      <w:r>
        <w:t>En pantallas móviles (ancho &lt; 768px), la barra de navegación se colapsa automáticamente mostrando el botón de menú hamburguesa (navbar-toggler), y cada tarjeta de producto ocupa el 100% del ancho (col-12) en una columna vertical para una lectura cómoda.</w:t>
      </w:r>
    </w:p>
    <w:p>
      <w:pPr>
        <w:spacing w:before="60" w:after="280"/>
      </w:pPr>
      <w:r>
        <w:rPr>
          <w:i/>
          <w:color w:val="646464"/>
          <w:sz w:val="18"/>
        </w:rPr>
        <w:t>Figura 3: Visualización en resolución móvil (375x812px).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