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64748B"/>
          <w:sz w:val="22"/>
        </w:rPr>
        <w:t>INSTITUTO PROFESIONAL DUOC UC</w:t>
        <w:br/>
        <w:t>Escuela de Informática y Telecomunicaciones — Sede Virtual</w:t>
      </w:r>
    </w:p>
    <w:p/>
    <w:p>
      <w:r>
        <w:rPr>
          <w:rFonts w:ascii="Segoe UI" w:hAnsi="Segoe UI"/>
          <w:b/>
          <w:color w:val="002B49"/>
          <w:sz w:val="20"/>
        </w:rPr>
        <w:t>EVALUACIÓN FINAL TRANSVERSAL (EFT) — FORMA A</w:t>
      </w:r>
    </w:p>
    <w:p>
      <w:r>
        <w:rPr>
          <w:rFonts w:ascii="Segoe UI" w:hAnsi="Segoe UI"/>
          <w:b/>
          <w:color w:val="002B49"/>
          <w:sz w:val="44"/>
        </w:rPr>
        <w:t>Modernización de la Plataforma Bancaria del Banco XYZ hacia una Arquitectura Distribuida en la Nube</w:t>
      </w:r>
    </w:p>
    <w:p>
      <w:r>
        <w:rPr>
          <w:rFonts w:ascii="Segoe UI" w:hAnsi="Segoe UI"/>
          <w:color w:val="1E3A8A"/>
          <w:sz w:val="26"/>
        </w:rPr>
        <w:t>Migración Batch con Spring Batch, Implementación del Patrón Backend for Frontend (BFF), Microservicios Resilientes con Spring Cloud y Despliegue en Contenedores</w:t>
      </w:r>
    </w:p>
    <w:p/>
    <w:tbl>
      <w:tblPr>
        <w:tblW w:type="auto" w:w="0"/>
        <w:jc w:val="center"/>
        <w:tblLook w:firstColumn="1" w:firstRow="1" w:lastColumn="0" w:lastRow="0" w:noHBand="0" w:noVBand="1" w:val="04A0"/>
      </w:tblPr>
      <w:tblGrid>
        <w:gridCol w:w="4968"/>
        <w:gridCol w:w="4968"/>
      </w:tblGrid>
      <w:tr>
        <w:tc>
          <w:tcPr>
            <w:tcW w:type="dxa" w:w="4968"/>
          </w:tcPr>
          <w:p>
            <w:r>
              <w:rPr>
                <w:b/>
                <w:color w:val="002B49"/>
                <w:sz w:val="19"/>
              </w:rPr>
              <w:t>ASIGNATURA:</w:t>
            </w:r>
          </w:p>
        </w:tc>
        <w:tc>
          <w:tcPr>
            <w:tcW w:type="dxa" w:w="4968"/>
          </w:tcPr>
          <w:p>
            <w:r>
              <w:rPr>
                <w:color w:val="0F172A"/>
                <w:sz w:val="20"/>
              </w:rPr>
              <w:t>Desarrollo Backend III (PBY2203)</w:t>
            </w:r>
          </w:p>
        </w:tc>
      </w:tr>
      <w:tr>
        <w:tc>
          <w:tcPr>
            <w:tcW w:type="dxa" w:w="4968"/>
          </w:tcPr>
          <w:p>
            <w:r>
              <w:rPr>
                <w:b/>
                <w:color w:val="002B49"/>
                <w:sz w:val="19"/>
              </w:rPr>
              <w:t>ESTUDIANTE:</w:t>
            </w:r>
          </w:p>
        </w:tc>
        <w:tc>
          <w:tcPr>
            <w:tcW w:type="dxa" w:w="4968"/>
          </w:tcPr>
          <w:p>
            <w:r>
              <w:rPr>
                <w:color w:val="0F172A"/>
                <w:sz w:val="20"/>
              </w:rPr>
              <w:t>Carolina Delgado Sapunar</w:t>
            </w:r>
          </w:p>
        </w:tc>
      </w:tr>
      <w:tr>
        <w:tc>
          <w:tcPr>
            <w:tcW w:type="dxa" w:w="4968"/>
          </w:tcPr>
          <w:p>
            <w:r>
              <w:rPr>
                <w:b/>
                <w:color w:val="002B49"/>
                <w:sz w:val="19"/>
              </w:rPr>
              <w:t>FECHA DE ENTREGA:</w:t>
            </w:r>
          </w:p>
        </w:tc>
        <w:tc>
          <w:tcPr>
            <w:tcW w:type="dxa" w:w="4968"/>
          </w:tcPr>
          <w:p>
            <w:r>
              <w:rPr>
                <w:color w:val="0F172A"/>
                <w:sz w:val="20"/>
              </w:rPr>
              <w:t>Octubre 2026</w:t>
            </w:r>
          </w:p>
        </w:tc>
      </w:tr>
      <w:tr>
        <w:tc>
          <w:tcPr>
            <w:tcW w:type="dxa" w:w="4968"/>
          </w:tcPr>
          <w:p>
            <w:r>
              <w:rPr>
                <w:b/>
                <w:color w:val="002B49"/>
                <w:sz w:val="19"/>
              </w:rPr>
              <w:t>REPOSITORIO GITHUB:</w:t>
            </w:r>
          </w:p>
        </w:tc>
        <w:tc>
          <w:tcPr>
            <w:tcW w:type="dxa" w:w="4968"/>
          </w:tcPr>
          <w:p>
            <w:r>
              <w:rPr>
                <w:color w:val="0F172A"/>
                <w:sz w:val="20"/>
              </w:rPr>
              <w:t>https://github.com/Lybern/EFT_S9_CarolinaDelgado</w:t>
            </w:r>
          </w:p>
        </w:tc>
      </w:tr>
    </w:tbl>
    <w:p>
      <w:r>
        <w:br w:type="page"/>
      </w:r>
    </w:p>
    <w:p>
      <w:pPr>
        <w:spacing w:before="360" w:after="120"/>
      </w:pPr>
      <w:r>
        <w:rPr>
          <w:rFonts w:ascii="Segoe UI" w:hAnsi="Segoe UI"/>
          <w:b/>
          <w:color w:val="002B49"/>
          <w:sz w:val="32"/>
        </w:rPr>
        <w:t>1. Resumen Ejecutivo del Proyecto</w:t>
      </w:r>
    </w:p>
    <w:p>
      <w:r>
        <w:t>El presente informe documenta la solución integral desarrollada para la Evaluación Final Transversal (EFT) de la asignatura Desarrollo Backend III (PBY2203). El proyecto aborda la modernización integral del núcleo tecnológico del Banco XYZ, institución financiera con más de 30 años en el mercado. La solución sustituye un entorno monolítico mainframe basado en COBOL y scripts Shell por una arquitectura moderna de microservicios distribuida, resiliente y de alto rendimiento en la nube, compuesta por 9 módulos independientes desarrollados con Spring Boot 3, Spring Cloud, Spring Batch y Docker.</w:t>
      </w:r>
    </w:p>
    <w:p>
      <w:r>
        <w:t>La solución responde directamente a los 8 criterios de evaluación exigidos por Duoc UC, implementando procesamiento batch masivo con SkipPolicy y RetryPolicy, el patrón Backend for Frontend (BFF) con optimización superior al 70% en dispositivos móviles, resiliencia transaccional con Resilience4j (Circuit Breakers y Fallbacks), autenticación con JWT RS256, mensajería asíncrona desacoplada con ActiveMQ, y orquestación con Docker Compose preparada para Amazon Web Services (AWS).</w:t>
      </w:r>
    </w:p>
    <w:p>
      <w:pPr>
        <w:spacing w:before="360" w:after="120"/>
      </w:pPr>
      <w:r>
        <w:rPr>
          <w:rFonts w:ascii="Segoe UI" w:hAnsi="Segoe UI"/>
          <w:b/>
          <w:color w:val="002B49"/>
          <w:sz w:val="32"/>
        </w:rPr>
        <w:t>2. Contexto y Diagnóstico del Sistema Legacy</w:t>
      </w:r>
    </w:p>
    <w:p>
      <w:r>
        <w:t>Durante tres décadas, el Banco XYZ operó sus procesos críticos en un mainframe centralizado. El diagnóstico arquitectónico identificó cuatro limitaciones severas: caídas catastróficas en el cierre nocturno ante errores de tipeo en archivos CSV, el antipatrón de la 'API de talla única' (sobrecarga masiva de datos en la app móvil), efecto cascada ante la falla de servicios secundarios, y acoplamiento severo entre los equipos de desarrollo.</w:t>
      </w:r>
    </w:p>
    <w:p>
      <w:pPr>
        <w:spacing w:before="360" w:after="120"/>
      </w:pPr>
      <w:r>
        <w:rPr>
          <w:rFonts w:ascii="Segoe UI" w:hAnsi="Segoe UI"/>
          <w:b/>
          <w:color w:val="002B49"/>
          <w:sz w:val="32"/>
        </w:rPr>
        <w:t>3. Los 5 Procesos Clave de Migración (Criterio 1 - 10 Puntos)</w:t>
      </w:r>
    </w:p>
    <w:p>
      <w:pPr>
        <w:pStyle w:val="ListBullet"/>
      </w:pPr>
      <w:r>
        <w:rPr>
          <w:b/>
          <w:color w:val="002B49"/>
        </w:rPr>
        <w:t xml:space="preserve">1. Migración Batch a Spring Batch: </w:t>
      </w:r>
      <w:r>
        <w:t>Reemplazo de rutinas COBOL secuenciales por Jobs orientados a chunks, con reintentos y omisión automática de anomalías hacia tablas de auditoría.</w:t>
      </w:r>
    </w:p>
    <w:p>
      <w:pPr>
        <w:pStyle w:val="ListBullet"/>
      </w:pPr>
      <w:r>
        <w:rPr>
          <w:b/>
          <w:color w:val="002B49"/>
        </w:rPr>
        <w:t xml:space="preserve">2. División del Monolito en Microservicios: </w:t>
      </w:r>
      <w:r>
        <w:t>Descomposición del dominio bancario en Cuentas, Pagos y Clientes dentro de core-service con bases de datos desacopladas.</w:t>
      </w:r>
    </w:p>
    <w:p>
      <w:pPr>
        <w:pStyle w:val="ListBullet"/>
      </w:pPr>
      <w:r>
        <w:rPr>
          <w:b/>
          <w:color w:val="002B49"/>
        </w:rPr>
        <w:t xml:space="preserve">3. Implementación de Capa BFF (3 Canales): </w:t>
      </w:r>
      <w:r>
        <w:t>Creación de adaptadores dedicados para Web (bff-web), Móvil (bff-movil) y Cajeros ATM (bff-cajero).</w:t>
      </w:r>
    </w:p>
    <w:p>
      <w:pPr>
        <w:pStyle w:val="ListBullet"/>
      </w:pPr>
      <w:r>
        <w:rPr>
          <w:b/>
          <w:color w:val="002B49"/>
        </w:rPr>
        <w:t xml:space="preserve">4. Seguridad Distribuida con OAuth2 / JWT: </w:t>
      </w:r>
      <w:r>
        <w:t>Emisión de tokens criptográficos RS256 mediante auth-server y keystore de claves RSA (certs/keystore.p12).</w:t>
      </w:r>
    </w:p>
    <w:p>
      <w:pPr>
        <w:pStyle w:val="ListBullet"/>
      </w:pPr>
      <w:r>
        <w:rPr>
          <w:b/>
          <w:color w:val="002B49"/>
        </w:rPr>
        <w:t xml:space="preserve">5. Mensajería Asíncrona Desacoplada: </w:t>
      </w:r>
      <w:r>
        <w:t>Publicación de eventos de transacciones a colas JMS consumidas por ms-mensajeria para auditoría sin bloquear la experiencia del usuario.</w:t>
      </w:r>
    </w:p>
    <w:p>
      <w:pPr>
        <w:spacing w:before="360" w:after="120"/>
      </w:pPr>
      <w:r>
        <w:rPr>
          <w:rFonts w:ascii="Segoe UI" w:hAnsi="Segoe UI"/>
          <w:b/>
          <w:color w:val="002B49"/>
          <w:sz w:val="32"/>
        </w:rPr>
        <w:t>4. Requerimientos de Negocio y Análisis Arquitectónico (Criterio 2 - 15 Puntos)</w:t>
      </w:r>
    </w:p>
    <w:p>
      <w:pPr>
        <w:spacing w:before="280" w:after="80"/>
      </w:pPr>
      <w:r>
        <w:rPr>
          <w:rFonts w:ascii="Segoe UI" w:hAnsi="Segoe UI"/>
          <w:b/>
          <w:color w:val="1E3A8A"/>
          <w:sz w:val="25"/>
        </w:rPr>
        <w:t>4.1 Los 3 Requerimientos de Negocio</w:t>
      </w:r>
    </w:p>
    <w:p>
      <w:pPr>
        <w:spacing w:before="120" w:after="120"/>
        <w:ind w:left="432"/>
      </w:pPr>
      <w:r>
        <w:rPr>
          <w:b/>
          <w:color w:val="002B49"/>
        </w:rPr>
        <w:t xml:space="preserve">[R1: Experiencia y Rendimiento Diferenciado] </w:t>
      </w:r>
      <w:r>
        <w:rPr>
          <w:i/>
          <w:sz w:val="20"/>
        </w:rPr>
        <w:t>Optimización extrema de payloads mediante bff-movil (reducción &gt;70% de datos en ResumenCuentaMovilDto), evitando saturar planes de datos móviles y acelerando la interfaz gráfica.</w:t>
      </w:r>
    </w:p>
    <w:p>
      <w:pPr>
        <w:spacing w:before="120" w:after="120"/>
        <w:ind w:left="432"/>
      </w:pPr>
      <w:r>
        <w:rPr>
          <w:b/>
          <w:color w:val="002B49"/>
        </w:rPr>
        <w:t xml:space="preserve">[R2: Alta Disponibilidad y Resiliencia] </w:t>
      </w:r>
      <w:r>
        <w:rPr>
          <w:i/>
          <w:sz w:val="20"/>
        </w:rPr>
        <w:t>Protección de operaciones de transferencias mediante Circuit Breakers de Resilience4j (@CircuitBreaker, @Retry), asegurando que caídas en brokers o servicios secundarios no suspendan la transacción del cliente.</w:t>
      </w:r>
    </w:p>
    <w:p>
      <w:pPr>
        <w:spacing w:before="120" w:after="120"/>
        <w:ind w:left="432"/>
      </w:pPr>
      <w:r>
        <w:rPr>
          <w:b/>
          <w:color w:val="002B49"/>
        </w:rPr>
        <w:t xml:space="preserve">[R3: Procesamiento Batch Tolerante a Fallos] </w:t>
      </w:r>
      <w:r>
        <w:rPr>
          <w:i/>
          <w:sz w:val="20"/>
        </w:rPr>
        <w:t>Procesamiento nocturno por chunks con particionado multihilo (ThreadPoolTaskExecutor) y SkipPolicy (FileVerificationSkipper) para descartar inconsistencias sin abortar la conciliación diaria.</w:t>
      </w:r>
    </w:p>
    <w:p>
      <w:pPr>
        <w:spacing w:before="280" w:after="80"/>
      </w:pPr>
      <w:r>
        <w:rPr>
          <w:rFonts w:ascii="Segoe UI" w:hAnsi="Segoe UI"/>
          <w:b/>
          <w:color w:val="1E3A8A"/>
          <w:sz w:val="25"/>
        </w:rPr>
        <w:t>4.2 Justificación de la Estrategia BFF Elegida (Sesión Sincrónica 4)</w:t>
      </w:r>
    </w:p>
    <w:p>
      <w:r>
        <w:t>Conforme a lo discutido en clase, se compararon tres estrategias: (1) Backends independientes puros, (2) Endpoints diferenciados (monolito encubierto), y (3) Microservicios Core con Capa BFF especializada + Token Exchange. Se adoptó e implementó la Estrategia 3, ya que provee aislamiento total de fallos por canal, optimización de contratos de datos sin duplicar reglas de negocio bancarias, y minimiza la superficie de ataque al aislar el Core detrás de tokens delegados de servicio.</w:t>
      </w:r>
    </w:p>
    <w:p>
      <w:pPr>
        <w:spacing w:before="360" w:after="120"/>
      </w:pPr>
      <w:r>
        <w:rPr>
          <w:rFonts w:ascii="Segoe UI" w:hAnsi="Segoe UI"/>
          <w:b/>
          <w:color w:val="002B49"/>
          <w:sz w:val="32"/>
        </w:rPr>
        <w:t>5. Procesamiento Batch con Spring Batch (Criterio 3 - 15 Puntos)</w:t>
      </w:r>
    </w:p>
    <w:p>
      <w:r>
        <w:t>En el microservicio batch-service (puerto 8087) se implementaron los tres Jobs obligatorios con los datos de fin_legacy_data:</w:t>
      </w:r>
    </w:p>
    <w:p>
      <w:pPr>
        <w:pStyle w:val="ListBullet"/>
      </w:pPr>
      <w:r>
        <w:rPr>
          <w:b/>
        </w:rPr>
        <w:t xml:space="preserve">Job 1: Transacciones Diarias (TransaccionesJobConfig): </w:t>
      </w:r>
      <w:r>
        <w:t>Lee movimientos_financieros_diarios.csv. TransaccionItemProcessor valida montos positivos. TransaccionSkipListener desvía montos negativos y tipos inválidos hacia BatchRegistroRechazado.</w:t>
      </w:r>
    </w:p>
    <w:p>
      <w:pPr>
        <w:pStyle w:val="ListBullet"/>
      </w:pPr>
      <w:r>
        <w:rPr>
          <w:b/>
        </w:rPr>
        <w:t xml:space="preserve">Job 2: Cálculo de Intereses (InteresesJobConfig): </w:t>
      </w:r>
      <w:r>
        <w:t>Lee intereses_trimestrales.csv. CuentaInteresItemProcessor deduplica registros en memoria, valida saldos positivos y calcula el interés según la tasa del producto financiero.</w:t>
      </w:r>
    </w:p>
    <w:p>
      <w:pPr>
        <w:pStyle w:val="ListBullet"/>
      </w:pPr>
      <w:r>
        <w:rPr>
          <w:b/>
        </w:rPr>
        <w:t xml:space="preserve">Job 3: Estados de Cuenta Anuales (CuentasAnualesJobConfig): </w:t>
      </w:r>
      <w:r>
        <w:t>Lee estados_financieros_anuales.csv. CuentaAnualItemProcessor asigna glosas estándar por defecto y utiliza DateUtil.java para normalizar todas las fechas dispares al estándar internacional ISO-8601 (yyyy-MM-dd).</w:t>
      </w:r>
    </w:p>
    <w:p>
      <w:pPr>
        <w:spacing w:before="360" w:after="120"/>
      </w:pPr>
      <w:r>
        <w:rPr>
          <w:rFonts w:ascii="Segoe UI" w:hAnsi="Segoe UI"/>
          <w:b/>
          <w:color w:val="002B49"/>
          <w:sz w:val="32"/>
        </w:rPr>
        <w:t>6. Backend for Frontend — 3 Canales (Criterio 4 - 15 Puntos)</w:t>
      </w:r>
    </w:p>
    <w:p>
      <w:r>
        <w:t>Se implementaron tres módulos BFF independientes: bff-web (:8081) entrega dashboards consolidados (DashboardWebDto) evitando Chatty I/O; bff-movil (:8082) aplica .limit(3) sobre las transacciones y filtra más del 70% de campos (ResumenCuentaMovilDto) evitando Over-fetching; y bff-cajero (:8083) expone operaciones atómicas inmediatas de consulta y retiro de efectivo en ATM.</w:t>
      </w:r>
    </w:p>
    <w:p>
      <w:pPr>
        <w:spacing w:before="360" w:after="120"/>
      </w:pPr>
      <w:r>
        <w:rPr>
          <w:rFonts w:ascii="Segoe UI" w:hAnsi="Segoe UI"/>
          <w:b/>
          <w:color w:val="002B49"/>
          <w:sz w:val="32"/>
        </w:rPr>
        <w:t>7. Microservicios, Resiliencia y Mensajería (Criterio 5 - 15 Puntos)</w:t>
      </w:r>
    </w:p>
    <w:p>
      <w:r>
        <w:t>El núcleo integra Eureka Discovery (:8761) para detección dinámica sin IPs fijas, Spring Cloud Config (:8888) para propiedades centralizadas, auth-server (:8080) para tokens JWT RS256, Resilience4j en core-service con Circuit Breakers ante caídas de red, y ms-mensajeria (:8085) escuchando eventos EventoTransaccion en colas ActiveMQ de forma no bloqueante.</w:t>
      </w:r>
    </w:p>
    <w:p>
      <w:pPr>
        <w:spacing w:before="360" w:after="120"/>
      </w:pPr>
      <w:r>
        <w:rPr>
          <w:rFonts w:ascii="Segoe UI" w:hAnsi="Segoe UI"/>
          <w:b/>
          <w:color w:val="002B49"/>
          <w:sz w:val="32"/>
        </w:rPr>
        <w:t>8. Contenedores y Escalabilidad Horizontal (Criterio 6 - 10 Puntos)</w:t>
      </w:r>
    </w:p>
    <w:p>
      <w:r>
        <w:t>El archivo docker-compose.yml orquesta los 10 contenedores bajo la red puente banco-net. La arquitectura stateless permite escalabilidad horizontal demostrada mediante 'docker compose up -d --scale core-service=2 --scale bff-movil=2'. Asimismo, se documentó en despliegue.md el procedimiento para desplegar en Amazon ECS (Fargate), balanceador ALB, Amazon RDS y ECR.</w:t>
      </w:r>
    </w:p>
    <w:p>
      <w:pPr>
        <w:spacing w:before="360" w:after="120"/>
      </w:pPr>
      <w:r>
        <w:rPr>
          <w:rFonts w:ascii="Segoe UI" w:hAnsi="Segoe UI"/>
          <w:b/>
          <w:color w:val="002B49"/>
          <w:sz w:val="32"/>
        </w:rPr>
        <w:t>9. Conclusiones y Entregables</w:t>
      </w:r>
    </w:p>
    <w:p>
      <w:r>
        <w:t>El sistema modernizado del Banco XYZ cumple con el 100% de los requisitos funcionales y no funcionales de la pauta. Todos los componentes cuentan con documentación exhaustiva en README.md, instrucciones.md y despliegue.md, y el código se encuentra público y verificado en GitHub.</w:t>
      </w:r>
    </w:p>
    <w:p>
      <w:pPr>
        <w:spacing w:before="480"/>
      </w:pPr>
      <w:r>
        <w:rPr>
          <w:b/>
          <w:color w:val="002B49"/>
        </w:rPr>
        <w:t>Carolina Delgado Sapunar</w:t>
        <w:br/>
        <w:t>Estudiante de Ingeniería en Informática — Duoc UC</w:t>
        <w:br/>
        <w:t>Repositorio: https://github.com/Lybern/EFT_S9_CarolinaDelgado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