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284C7"/>
          <w:sz w:val="22"/>
        </w:rPr>
        <w:t>INFORME TÉCNICO Y GUÍA DE ENTREGA — SEMANA 2</w:t>
        <w:br/>
      </w:r>
      <w:r>
        <w:rPr>
          <w:b/>
          <w:color w:val="0F172A"/>
          <w:sz w:val="44"/>
        </w:rPr>
        <w:t>Optimizando la Página Web con CSS</w:t>
      </w:r>
    </w:p>
    <w:tbl>
      <w:tblPr>
        <w:tblW w:type="auto" w:w="0"/>
        <w:jc w:val="center"/>
        <w:tblLayout w:type="fixed"/>
        <w:tblLook w:firstColumn="1" w:firstRow="1" w:lastColumn="0" w:lastRow="0" w:noHBand="0" w:noVBand="1" w:val="04A0"/>
      </w:tblPr>
      <w:tblGrid>
        <w:gridCol w:w="4680"/>
        <w:gridCol w:w="4680"/>
      </w:tblGrid>
      <w:tr>
        <w:tc>
          <w:tcPr>
            <w:tcW w:type="dxa" w:w="2592"/>
            <w:shd w:fill="F1F5F9"/>
            <w:tcMar>
              <w:top w:w="80" w:type="dxa"/>
              <w:bottom w:w="80" w:type="dxa"/>
              <w:left w:w="100" w:type="dxa"/>
              <w:right w:w="100" w:type="dxa"/>
            </w:tcMar>
          </w:tcPr>
          <w:p>
            <w:r>
              <w:rPr>
                <w:b/>
                <w:color w:val="1E293B"/>
                <w:sz w:val="19"/>
              </w:rPr>
              <w:t>Asignatura:</w:t>
            </w:r>
          </w:p>
        </w:tc>
        <w:tc>
          <w:tcPr>
            <w:tcW w:type="dxa" w:w="6768"/>
            <w:shd w:fill="F8FAFC"/>
            <w:tcMar>
              <w:top w:w="80" w:type="dxa"/>
              <w:bottom w:w="80" w:type="dxa"/>
              <w:left w:w="100" w:type="dxa"/>
              <w:right w:w="100" w:type="dxa"/>
            </w:tcMar>
          </w:tcPr>
          <w:p>
            <w:r>
              <w:rPr>
                <w:color w:val="334155"/>
                <w:sz w:val="19"/>
              </w:rPr>
              <w:t>Desarrollo Frontend I (PFY2201)</w:t>
            </w:r>
          </w:p>
        </w:tc>
      </w:tr>
      <w:tr>
        <w:tc>
          <w:tcPr>
            <w:tcW w:type="dxa" w:w="2592"/>
            <w:shd w:fill="F1F5F9"/>
            <w:tcMar>
              <w:top w:w="80" w:type="dxa"/>
              <w:bottom w:w="80" w:type="dxa"/>
              <w:left w:w="100" w:type="dxa"/>
              <w:right w:w="100" w:type="dxa"/>
            </w:tcMar>
          </w:tcPr>
          <w:p>
            <w:r>
              <w:rPr>
                <w:b/>
                <w:color w:val="1E293B"/>
                <w:sz w:val="19"/>
              </w:rPr>
              <w:t>Institución:</w:t>
            </w:r>
          </w:p>
        </w:tc>
        <w:tc>
          <w:tcPr>
            <w:tcW w:type="dxa" w:w="6768"/>
            <w:shd w:fill="F8FAFC"/>
            <w:tcMar>
              <w:top w:w="80" w:type="dxa"/>
              <w:bottom w:w="80" w:type="dxa"/>
              <w:left w:w="100" w:type="dxa"/>
              <w:right w:w="100" w:type="dxa"/>
            </w:tcMar>
          </w:tcPr>
          <w:p>
            <w:r>
              <w:rPr>
                <w:color w:val="334155"/>
                <w:sz w:val="19"/>
              </w:rPr>
              <w:t>Duoc UC Online — Escuela de Informática y Telecomunicaciones</w:t>
            </w:r>
          </w:p>
        </w:tc>
      </w:tr>
      <w:tr>
        <w:tc>
          <w:tcPr>
            <w:tcW w:type="dxa" w:w="2592"/>
            <w:shd w:fill="F1F5F9"/>
            <w:tcMar>
              <w:top w:w="80" w:type="dxa"/>
              <w:bottom w:w="80" w:type="dxa"/>
              <w:left w:w="100" w:type="dxa"/>
              <w:right w:w="100" w:type="dxa"/>
            </w:tcMar>
          </w:tcPr>
          <w:p>
            <w:r>
              <w:rPr>
                <w:b/>
                <w:color w:val="1E293B"/>
                <w:sz w:val="19"/>
              </w:rPr>
              <w:t>Estudiante:</w:t>
            </w:r>
          </w:p>
        </w:tc>
        <w:tc>
          <w:tcPr>
            <w:tcW w:type="dxa" w:w="6768"/>
            <w:shd w:fill="F8FAFC"/>
            <w:tcMar>
              <w:top w:w="80" w:type="dxa"/>
              <w:bottom w:w="80" w:type="dxa"/>
              <w:left w:w="100" w:type="dxa"/>
              <w:right w:w="100" w:type="dxa"/>
            </w:tcMar>
          </w:tcPr>
          <w:p>
            <w:r>
              <w:rPr>
                <w:color w:val="334155"/>
                <w:sz w:val="19"/>
              </w:rPr>
              <w:t>Carolina</w:t>
            </w:r>
          </w:p>
        </w:tc>
      </w:tr>
      <w:tr>
        <w:tc>
          <w:tcPr>
            <w:tcW w:type="dxa" w:w="2592"/>
            <w:shd w:fill="F1F5F9"/>
            <w:tcMar>
              <w:top w:w="80" w:type="dxa"/>
              <w:bottom w:w="80" w:type="dxa"/>
              <w:left w:w="100" w:type="dxa"/>
              <w:right w:w="100" w:type="dxa"/>
            </w:tcMar>
          </w:tcPr>
          <w:p>
            <w:r>
              <w:rPr>
                <w:b/>
                <w:color w:val="1E293B"/>
                <w:sz w:val="19"/>
              </w:rPr>
              <w:t>Archivo CSS:</w:t>
            </w:r>
          </w:p>
        </w:tc>
        <w:tc>
          <w:tcPr>
            <w:tcW w:type="dxa" w:w="6768"/>
            <w:shd w:fill="F8FAFC"/>
            <w:tcMar>
              <w:top w:w="80" w:type="dxa"/>
              <w:bottom w:w="80" w:type="dxa"/>
              <w:left w:w="100" w:type="dxa"/>
              <w:right w:w="100" w:type="dxa"/>
            </w:tcMar>
          </w:tcPr>
          <w:p>
            <w:r>
              <w:rPr>
                <w:color w:val="334155"/>
                <w:sz w:val="19"/>
              </w:rPr>
              <w:t>Carolina_PFY2201_CSS_Semana2.css</w:t>
            </w:r>
          </w:p>
        </w:tc>
      </w:tr>
      <w:tr>
        <w:tc>
          <w:tcPr>
            <w:tcW w:type="dxa" w:w="2592"/>
            <w:shd w:fill="F1F5F9"/>
            <w:tcMar>
              <w:top w:w="80" w:type="dxa"/>
              <w:bottom w:w="80" w:type="dxa"/>
              <w:left w:w="100" w:type="dxa"/>
              <w:right w:w="100" w:type="dxa"/>
            </w:tcMar>
          </w:tcPr>
          <w:p>
            <w:r>
              <w:rPr>
                <w:b/>
                <w:color w:val="1E293B"/>
                <w:sz w:val="19"/>
              </w:rPr>
              <w:t>Archivo HTML:</w:t>
            </w:r>
          </w:p>
        </w:tc>
        <w:tc>
          <w:tcPr>
            <w:tcW w:type="dxa" w:w="6768"/>
            <w:shd w:fill="F8FAFC"/>
            <w:tcMar>
              <w:top w:w="80" w:type="dxa"/>
              <w:bottom w:w="80" w:type="dxa"/>
              <w:left w:w="100" w:type="dxa"/>
              <w:right w:w="100" w:type="dxa"/>
            </w:tcMar>
          </w:tcPr>
          <w:p>
            <w:r>
              <w:rPr>
                <w:color w:val="334155"/>
                <w:sz w:val="19"/>
              </w:rPr>
              <w:t>Carolina_PFY2201_HTML_Semana2.html (e index.html para GitHub Pages)</w:t>
            </w:r>
          </w:p>
        </w:tc>
      </w:tr>
      <w:tr>
        <w:tc>
          <w:tcPr>
            <w:tcW w:type="dxa" w:w="2592"/>
            <w:shd w:fill="F1F5F9"/>
            <w:tcMar>
              <w:top w:w="80" w:type="dxa"/>
              <w:bottom w:w="80" w:type="dxa"/>
              <w:left w:w="100" w:type="dxa"/>
              <w:right w:w="100" w:type="dxa"/>
            </w:tcMar>
          </w:tcPr>
          <w:p>
            <w:r>
              <w:rPr>
                <w:b/>
                <w:color w:val="1E293B"/>
                <w:sz w:val="19"/>
              </w:rPr>
              <w:t>Proyecto:</w:t>
            </w:r>
          </w:p>
        </w:tc>
        <w:tc>
          <w:tcPr>
            <w:tcW w:type="dxa" w:w="6768"/>
            <w:shd w:fill="F8FAFC"/>
            <w:tcMar>
              <w:top w:w="80" w:type="dxa"/>
              <w:bottom w:w="80" w:type="dxa"/>
              <w:left w:w="100" w:type="dxa"/>
              <w:right w:w="100" w:type="dxa"/>
            </w:tcMar>
          </w:tcPr>
          <w:p>
            <w:r>
              <w:rPr>
                <w:color w:val="334155"/>
                <w:sz w:val="19"/>
              </w:rPr>
              <w:t>EriGamesStore — Tienda de Videojuegos Gamer</w:t>
            </w:r>
          </w:p>
        </w:tc>
      </w:tr>
    </w:tbl>
    <w:p>
      <w:pPr>
        <w:spacing w:after="240"/>
      </w:pPr>
    </w:p>
    <w:p>
      <w:pPr>
        <w:spacing w:before="360" w:after="120"/>
      </w:pPr>
      <w:r>
        <w:rPr>
          <w:b/>
          <w:color w:val="0F172A"/>
          <w:sz w:val="28"/>
        </w:rPr>
        <w:t>1. Introducción y Propósito del Proyecto</w:t>
      </w:r>
    </w:p>
    <w:p>
      <w:r>
        <w:t>El presente informe documenta en detalle la optimización visual y estructural del sitio web «EriGamesStore», dando cumplimiento estricto a todos los requerimientos de la actividad formativa de la Semana 2 de la asignatura Desarrollo Frontend I (PFY2201) de Duoc UC.</w:t>
      </w:r>
    </w:p>
    <w:p>
      <w:r>
        <w:t>A partir de la estructura semántica HTML5 construida en la primera semana, en esta etapa se incorpora una hoja de estilos CSS externa altamente estructurada que aplica de forma rigurosa el modelo de cajas (Box Model), un esquema cromático y tipográfico con identidad gamer moderna, selectores avanzados y pseudo-clases, garantizando una distribución visual armónica, estética profesional y adaptabilidad responsiva.</w:t>
      </w:r>
    </w:p>
    <w:p>
      <w:pPr>
        <w:spacing w:before="360" w:after="120"/>
      </w:pPr>
      <w:r>
        <w:rPr>
          <w:b/>
          <w:color w:val="0F172A"/>
          <w:sz w:val="28"/>
        </w:rPr>
        <w:t>2. Implementación Técnica del Modelo de Cajas (CSS Box Model)</w:t>
      </w:r>
    </w:p>
    <w:p>
      <w:r>
        <w:t>El modelo de cajas de CSS es la piedra angular del diseño web y determina cómo se calcula el espacio de cada elemento en pantalla mediante cuatro capas concéntricas: Contenido (Content), Relleno (Padding), Borde (Border) y Margen (Margin).</w:t>
      </w:r>
    </w:p>
    <w:p>
      <w:r>
        <w:t>Para lograr un control dimensional preciso y predecible, se aplicó la regla universal de box-sizing:</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40" w:type="dxa"/>
              <w:right w:w="140" w:type="dxa"/>
            </w:tcMar>
          </w:tcPr>
          <w:p>
            <w:r>
              <w:rPr>
                <w:b/>
                <w:color w:val="1D4ED8"/>
                <w:sz w:val="19"/>
              </w:rPr>
              <w:t xml:space="preserve">REGLA UNIVERSAL DE MODELO DE CAJAS: </w:t>
            </w:r>
            <w:r>
              <w:rPr>
                <w:color w:val="1E40AF"/>
                <w:sz w:val="19"/>
              </w:rPr>
              <w:t>* , *::before , *::after { box-sizing: border-box; margin: 0; padding: 0; }</w:t>
              <w:br/>
              <w:t>Esta regla asegura que el padding y border se incluyan dentro del ancho (width) y alto (height) total del elemento, evitando desbordamientos horizontales inesperados.</w:t>
            </w:r>
          </w:p>
        </w:tc>
      </w:tr>
    </w:tbl>
    <w:p>
      <w:pPr>
        <w:spacing w:after="120"/>
      </w:pPr>
    </w:p>
    <w:p>
      <w:pPr>
        <w:spacing w:before="280" w:after="80"/>
      </w:pPr>
      <w:r>
        <w:rPr>
          <w:b/>
          <w:color w:val="0284C7"/>
          <w:sz w:val="24"/>
        </w:rPr>
        <w:t>2.1 Distribución del Modelo de Cajas por Componente del Sitio</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340"/>
            <w:shd w:fill="1E293B"/>
          </w:tcPr>
          <w:p>
            <w:r>
              <w:rPr>
                <w:b/>
                <w:color w:val="FFFFFF"/>
                <w:sz w:val="18"/>
              </w:rPr>
              <w:t>Componente / Selector</w:t>
            </w:r>
          </w:p>
        </w:tc>
        <w:tc>
          <w:tcPr>
            <w:tcW w:type="dxa" w:w="2340"/>
            <w:shd w:fill="1E293B"/>
          </w:tcPr>
          <w:p>
            <w:r>
              <w:rPr>
                <w:b/>
                <w:color w:val="FFFFFF"/>
                <w:sz w:val="18"/>
              </w:rPr>
              <w:t>Padding (Relleno)</w:t>
            </w:r>
          </w:p>
        </w:tc>
        <w:tc>
          <w:tcPr>
            <w:tcW w:type="dxa" w:w="2340"/>
            <w:shd w:fill="1E293B"/>
          </w:tcPr>
          <w:p>
            <w:r>
              <w:rPr>
                <w:b/>
                <w:color w:val="FFFFFF"/>
                <w:sz w:val="18"/>
              </w:rPr>
              <w:t>Margin (Margen)</w:t>
            </w:r>
          </w:p>
        </w:tc>
        <w:tc>
          <w:tcPr>
            <w:tcW w:type="dxa" w:w="2340"/>
            <w:shd w:fill="1E293B"/>
          </w:tcPr>
          <w:p>
            <w:r>
              <w:rPr>
                <w:b/>
                <w:color w:val="FFFFFF"/>
                <w:sz w:val="18"/>
              </w:rPr>
              <w:t>Border &amp; Radius (Bordes)</w:t>
            </w:r>
          </w:p>
        </w:tc>
      </w:tr>
      <w:tr>
        <w:tc>
          <w:tcPr>
            <w:tcW w:type="dxa" w:w="2340"/>
            <w:tcMar>
              <w:top w:w="60" w:type="dxa"/>
              <w:bottom w:w="60" w:type="dxa"/>
              <w:left w:w="80" w:type="dxa"/>
              <w:right w:w="80" w:type="dxa"/>
            </w:tcMar>
          </w:tcPr>
          <w:p>
            <w:r>
              <w:rPr>
                <w:sz w:val="17"/>
              </w:rPr>
              <w:t>Cabecera (header#inicio)</w:t>
            </w:r>
          </w:p>
        </w:tc>
        <w:tc>
          <w:tcPr>
            <w:tcW w:type="dxa" w:w="2340"/>
            <w:tcMar>
              <w:top w:w="60" w:type="dxa"/>
              <w:bottom w:w="60" w:type="dxa"/>
              <w:left w:w="80" w:type="dxa"/>
              <w:right w:w="80" w:type="dxa"/>
            </w:tcMar>
          </w:tcPr>
          <w:p>
            <w:r>
              <w:rPr>
                <w:sz w:val="17"/>
              </w:rPr>
              <w:t>2.5rem 1.5rem 2rem 1.5rem</w:t>
            </w:r>
          </w:p>
        </w:tc>
        <w:tc>
          <w:tcPr>
            <w:tcW w:type="dxa" w:w="2340"/>
            <w:tcMar>
              <w:top w:w="60" w:type="dxa"/>
              <w:bottom w:w="60" w:type="dxa"/>
              <w:left w:w="80" w:type="dxa"/>
              <w:right w:w="80" w:type="dxa"/>
            </w:tcMar>
          </w:tcPr>
          <w:p>
            <w:r>
              <w:rPr>
                <w:sz w:val="17"/>
              </w:rPr>
              <w:t>0 (ancho completo)</w:t>
            </w:r>
          </w:p>
        </w:tc>
        <w:tc>
          <w:tcPr>
            <w:tcW w:type="dxa" w:w="2340"/>
            <w:tcMar>
              <w:top w:w="60" w:type="dxa"/>
              <w:bottom w:w="60" w:type="dxa"/>
              <w:left w:w="80" w:type="dxa"/>
              <w:right w:w="80" w:type="dxa"/>
            </w:tcMar>
          </w:tcPr>
          <w:p>
            <w:r>
              <w:rPr>
                <w:sz w:val="17"/>
              </w:rPr>
              <w:t>border-bottom: 2px solid + línea gradiente neón</w:t>
            </w:r>
          </w:p>
        </w:tc>
      </w:tr>
      <w:tr>
        <w:tc>
          <w:tcPr>
            <w:tcW w:type="dxa" w:w="2340"/>
            <w:shd w:fill="F8FAFC"/>
            <w:tcMar>
              <w:top w:w="60" w:type="dxa"/>
              <w:bottom w:w="60" w:type="dxa"/>
              <w:left w:w="80" w:type="dxa"/>
              <w:right w:w="80" w:type="dxa"/>
            </w:tcMar>
          </w:tcPr>
          <w:p>
            <w:r>
              <w:rPr>
                <w:sz w:val="17"/>
              </w:rPr>
              <w:t>Menú de Navegación (nav a)</w:t>
            </w:r>
          </w:p>
        </w:tc>
        <w:tc>
          <w:tcPr>
            <w:tcW w:type="dxa" w:w="2340"/>
            <w:shd w:fill="F8FAFC"/>
            <w:tcMar>
              <w:top w:w="60" w:type="dxa"/>
              <w:bottom w:w="60" w:type="dxa"/>
              <w:left w:w="80" w:type="dxa"/>
              <w:right w:w="80" w:type="dxa"/>
            </w:tcMar>
          </w:tcPr>
          <w:p>
            <w:r>
              <w:rPr>
                <w:sz w:val="17"/>
              </w:rPr>
              <w:t>0.65rem 1.35rem</w:t>
            </w:r>
          </w:p>
        </w:tc>
        <w:tc>
          <w:tcPr>
            <w:tcW w:type="dxa" w:w="2340"/>
            <w:shd w:fill="F8FAFC"/>
            <w:tcMar>
              <w:top w:w="60" w:type="dxa"/>
              <w:bottom w:w="60" w:type="dxa"/>
              <w:left w:w="80" w:type="dxa"/>
              <w:right w:w="80" w:type="dxa"/>
            </w:tcMar>
          </w:tcPr>
          <w:p>
            <w:r>
              <w:rPr>
                <w:sz w:val="17"/>
              </w:rPr>
              <w:t>gap: 0.75rem en ul</w:t>
            </w:r>
          </w:p>
        </w:tc>
        <w:tc>
          <w:tcPr>
            <w:tcW w:type="dxa" w:w="2340"/>
            <w:shd w:fill="F8FAFC"/>
            <w:tcMar>
              <w:top w:w="60" w:type="dxa"/>
              <w:bottom w:w="60" w:type="dxa"/>
              <w:left w:w="80" w:type="dxa"/>
              <w:right w:w="80" w:type="dxa"/>
            </w:tcMar>
          </w:tcPr>
          <w:p>
            <w:r>
              <w:rPr>
                <w:sz w:val="17"/>
              </w:rPr>
              <w:t>border: 1px transparent; border-radius: 8px</w:t>
            </w:r>
          </w:p>
        </w:tc>
      </w:tr>
      <w:tr>
        <w:tc>
          <w:tcPr>
            <w:tcW w:type="dxa" w:w="2340"/>
            <w:tcMar>
              <w:top w:w="60" w:type="dxa"/>
              <w:bottom w:w="60" w:type="dxa"/>
              <w:left w:w="80" w:type="dxa"/>
              <w:right w:w="80" w:type="dxa"/>
            </w:tcMar>
          </w:tcPr>
          <w:p>
            <w:r>
              <w:rPr>
                <w:sz w:val="17"/>
              </w:rPr>
              <w:t>Tarjetas de Productos (.product-card)</w:t>
            </w:r>
          </w:p>
        </w:tc>
        <w:tc>
          <w:tcPr>
            <w:tcW w:type="dxa" w:w="2340"/>
            <w:tcMar>
              <w:top w:w="60" w:type="dxa"/>
              <w:bottom w:w="60" w:type="dxa"/>
              <w:left w:w="80" w:type="dxa"/>
              <w:right w:w="80" w:type="dxa"/>
            </w:tcMar>
          </w:tcPr>
          <w:p>
            <w:r>
              <w:rPr>
                <w:sz w:val="17"/>
              </w:rPr>
              <w:t>1.75rem en todas las caras</w:t>
            </w:r>
          </w:p>
        </w:tc>
        <w:tc>
          <w:tcPr>
            <w:tcW w:type="dxa" w:w="2340"/>
            <w:tcMar>
              <w:top w:w="60" w:type="dxa"/>
              <w:bottom w:w="60" w:type="dxa"/>
              <w:left w:w="80" w:type="dxa"/>
              <w:right w:w="80" w:type="dxa"/>
            </w:tcMar>
          </w:tcPr>
          <w:p>
            <w:r>
              <w:rPr>
                <w:sz w:val="17"/>
              </w:rPr>
              <w:t>gap: 2rem (CSS Grid)</w:t>
            </w:r>
          </w:p>
        </w:tc>
        <w:tc>
          <w:tcPr>
            <w:tcW w:type="dxa" w:w="2340"/>
            <w:tcMar>
              <w:top w:w="60" w:type="dxa"/>
              <w:bottom w:w="60" w:type="dxa"/>
              <w:left w:w="80" w:type="dxa"/>
              <w:right w:w="80" w:type="dxa"/>
            </w:tcMar>
          </w:tcPr>
          <w:p>
            <w:r>
              <w:rPr>
                <w:sz w:val="17"/>
              </w:rPr>
              <w:t>border: 1px solid sutil; border-radius: 14px; top-bar neón 4px</w:t>
            </w:r>
          </w:p>
        </w:tc>
      </w:tr>
      <w:tr>
        <w:tc>
          <w:tcPr>
            <w:tcW w:type="dxa" w:w="2340"/>
            <w:shd w:fill="F8FAFC"/>
            <w:tcMar>
              <w:top w:w="60" w:type="dxa"/>
              <w:bottom w:w="60" w:type="dxa"/>
              <w:left w:w="80" w:type="dxa"/>
              <w:right w:w="80" w:type="dxa"/>
            </w:tcMar>
          </w:tcPr>
          <w:p>
            <w:r>
              <w:rPr>
                <w:sz w:val="17"/>
              </w:rPr>
              <w:t>Botones de Compra (.btn-buy)</w:t>
            </w:r>
          </w:p>
        </w:tc>
        <w:tc>
          <w:tcPr>
            <w:tcW w:type="dxa" w:w="2340"/>
            <w:shd w:fill="F8FAFC"/>
            <w:tcMar>
              <w:top w:w="60" w:type="dxa"/>
              <w:bottom w:w="60" w:type="dxa"/>
              <w:left w:w="80" w:type="dxa"/>
              <w:right w:w="80" w:type="dxa"/>
            </w:tcMar>
          </w:tcPr>
          <w:p>
            <w:r>
              <w:rPr>
                <w:sz w:val="17"/>
              </w:rPr>
              <w:t>0.85rem 1.25rem</w:t>
            </w:r>
          </w:p>
        </w:tc>
        <w:tc>
          <w:tcPr>
            <w:tcW w:type="dxa" w:w="2340"/>
            <w:shd w:fill="F8FAFC"/>
            <w:tcMar>
              <w:top w:w="60" w:type="dxa"/>
              <w:bottom w:w="60" w:type="dxa"/>
              <w:left w:w="80" w:type="dxa"/>
              <w:right w:w="80" w:type="dxa"/>
            </w:tcMar>
          </w:tcPr>
          <w:p>
            <w:r>
              <w:rPr>
                <w:sz w:val="17"/>
              </w:rPr>
              <w:t>margin-top: auto</w:t>
            </w:r>
          </w:p>
        </w:tc>
        <w:tc>
          <w:tcPr>
            <w:tcW w:type="dxa" w:w="2340"/>
            <w:shd w:fill="F8FAFC"/>
            <w:tcMar>
              <w:top w:w="60" w:type="dxa"/>
              <w:bottom w:w="60" w:type="dxa"/>
              <w:left w:w="80" w:type="dxa"/>
              <w:right w:w="80" w:type="dxa"/>
            </w:tcMar>
          </w:tcPr>
          <w:p>
            <w:r>
              <w:rPr>
                <w:sz w:val="17"/>
              </w:rPr>
              <w:t>border: none; border-radius: 8px; box-shadow neón</w:t>
            </w:r>
          </w:p>
        </w:tc>
      </w:tr>
      <w:tr>
        <w:tc>
          <w:tcPr>
            <w:tcW w:type="dxa" w:w="2340"/>
            <w:tcMar>
              <w:top w:w="60" w:type="dxa"/>
              <w:bottom w:w="60" w:type="dxa"/>
              <w:left w:w="80" w:type="dxa"/>
              <w:right w:w="80" w:type="dxa"/>
            </w:tcMar>
          </w:tcPr>
          <w:p>
            <w:r>
              <w:rPr>
                <w:sz w:val="17"/>
              </w:rPr>
              <w:t>Módulos de Categorías (#categorias li)</w:t>
            </w:r>
          </w:p>
        </w:tc>
        <w:tc>
          <w:tcPr>
            <w:tcW w:type="dxa" w:w="2340"/>
            <w:tcMar>
              <w:top w:w="60" w:type="dxa"/>
              <w:bottom w:w="60" w:type="dxa"/>
              <w:left w:w="80" w:type="dxa"/>
              <w:right w:w="80" w:type="dxa"/>
            </w:tcMar>
          </w:tcPr>
          <w:p>
            <w:r>
              <w:rPr>
                <w:sz w:val="17"/>
              </w:rPr>
              <w:t>1.25rem 1.5rem</w:t>
            </w:r>
          </w:p>
        </w:tc>
        <w:tc>
          <w:tcPr>
            <w:tcW w:type="dxa" w:w="2340"/>
            <w:tcMar>
              <w:top w:w="60" w:type="dxa"/>
              <w:bottom w:w="60" w:type="dxa"/>
              <w:left w:w="80" w:type="dxa"/>
              <w:right w:w="80" w:type="dxa"/>
            </w:tcMar>
          </w:tcPr>
          <w:p>
            <w:r>
              <w:rPr>
                <w:sz w:val="17"/>
              </w:rPr>
              <w:t>gap: 1.25rem en grid</w:t>
            </w:r>
          </w:p>
        </w:tc>
        <w:tc>
          <w:tcPr>
            <w:tcW w:type="dxa" w:w="2340"/>
            <w:tcMar>
              <w:top w:w="60" w:type="dxa"/>
              <w:bottom w:w="60" w:type="dxa"/>
              <w:left w:w="80" w:type="dxa"/>
              <w:right w:w="80" w:type="dxa"/>
            </w:tcMar>
          </w:tcPr>
          <w:p>
            <w:r>
              <w:rPr>
                <w:sz w:val="17"/>
              </w:rPr>
              <w:t>border: 1px solid; border-left: 4px solid neón; border-radius: 8px</w:t>
            </w:r>
          </w:p>
        </w:tc>
      </w:tr>
      <w:tr>
        <w:tc>
          <w:tcPr>
            <w:tcW w:type="dxa" w:w="2340"/>
            <w:shd w:fill="F8FAFC"/>
            <w:tcMar>
              <w:top w:w="60" w:type="dxa"/>
              <w:bottom w:w="60" w:type="dxa"/>
              <w:left w:w="80" w:type="dxa"/>
              <w:right w:w="80" w:type="dxa"/>
            </w:tcMar>
          </w:tcPr>
          <w:p>
            <w:r>
              <w:rPr>
                <w:sz w:val="17"/>
              </w:rPr>
              <w:t>Módulos de Contacto (#contacto li)</w:t>
            </w:r>
          </w:p>
        </w:tc>
        <w:tc>
          <w:tcPr>
            <w:tcW w:type="dxa" w:w="2340"/>
            <w:shd w:fill="F8FAFC"/>
            <w:tcMar>
              <w:top w:w="60" w:type="dxa"/>
              <w:bottom w:w="60" w:type="dxa"/>
              <w:left w:w="80" w:type="dxa"/>
              <w:right w:w="80" w:type="dxa"/>
            </w:tcMar>
          </w:tcPr>
          <w:p>
            <w:r>
              <w:rPr>
                <w:sz w:val="17"/>
              </w:rPr>
              <w:t>1.5rem en todas las caras</w:t>
            </w:r>
          </w:p>
        </w:tc>
        <w:tc>
          <w:tcPr>
            <w:tcW w:type="dxa" w:w="2340"/>
            <w:shd w:fill="F8FAFC"/>
            <w:tcMar>
              <w:top w:w="60" w:type="dxa"/>
              <w:bottom w:w="60" w:type="dxa"/>
              <w:left w:w="80" w:type="dxa"/>
              <w:right w:w="80" w:type="dxa"/>
            </w:tcMar>
          </w:tcPr>
          <w:p>
            <w:r>
              <w:rPr>
                <w:sz w:val="17"/>
              </w:rPr>
              <w:t>gap: 1.5rem en grid</w:t>
            </w:r>
          </w:p>
        </w:tc>
        <w:tc>
          <w:tcPr>
            <w:tcW w:type="dxa" w:w="2340"/>
            <w:shd w:fill="F8FAFC"/>
            <w:tcMar>
              <w:top w:w="60" w:type="dxa"/>
              <w:bottom w:w="60" w:type="dxa"/>
              <w:left w:w="80" w:type="dxa"/>
              <w:right w:w="80" w:type="dxa"/>
            </w:tcMar>
          </w:tcPr>
          <w:p>
            <w:r>
              <w:rPr>
                <w:sz w:val="17"/>
              </w:rPr>
              <w:t>border: 1px solid traslúcido; border-radius: 14px</w:t>
            </w:r>
          </w:p>
        </w:tc>
      </w:tr>
    </w:tbl>
    <w:p>
      <w:pPr>
        <w:spacing w:after="160"/>
      </w:pPr>
    </w:p>
    <w:p>
      <w:pPr>
        <w:spacing w:before="360" w:after="120"/>
      </w:pPr>
      <w:r>
        <w:rPr>
          <w:b/>
          <w:color w:val="0F172A"/>
          <w:sz w:val="28"/>
        </w:rPr>
        <w:t>3. Definición de Paleta Cromática y Tipografía</w:t>
      </w:r>
    </w:p>
    <w:p>
      <w:r>
        <w:t>Se definió una arquitectura visual basada en variables CSS (:root) con temática gamer futurista y elegante, cuidando los contrastes de legibilidad WCAG y la jerarquía de la información.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0F172A"/>
          </w:tcPr>
          <w:p>
            <w:r>
              <w:rPr>
                <w:b/>
                <w:color w:val="FFFFFF"/>
                <w:sz w:val="18"/>
              </w:rPr>
              <w:t>Variable CSS</w:t>
            </w:r>
          </w:p>
        </w:tc>
        <w:tc>
          <w:tcPr>
            <w:tcW w:type="dxa" w:w="3120"/>
            <w:shd w:fill="0F172A"/>
          </w:tcPr>
          <w:p>
            <w:r>
              <w:rPr>
                <w:b/>
                <w:color w:val="FFFFFF"/>
                <w:sz w:val="18"/>
              </w:rPr>
              <w:t>Código Hexadecimal / Valor</w:t>
            </w:r>
          </w:p>
        </w:tc>
        <w:tc>
          <w:tcPr>
            <w:tcW w:type="dxa" w:w="3120"/>
            <w:shd w:fill="0F172A"/>
          </w:tcPr>
          <w:p>
            <w:r>
              <w:rPr>
                <w:b/>
                <w:color w:val="FFFFFF"/>
                <w:sz w:val="18"/>
              </w:rPr>
              <w:t>Uso y Propósito en el Sitio</w:t>
            </w:r>
          </w:p>
        </w:tc>
      </w:tr>
      <w:tr>
        <w:tc>
          <w:tcPr>
            <w:tcW w:type="dxa" w:w="3120"/>
            <w:tcMar>
              <w:top w:w="60" w:type="dxa"/>
              <w:bottom w:w="60" w:type="dxa"/>
              <w:left w:w="80" w:type="dxa"/>
              <w:right w:w="80" w:type="dxa"/>
            </w:tcMar>
          </w:tcPr>
          <w:p>
            <w:r>
              <w:rPr>
                <w:sz w:val="17"/>
              </w:rPr>
              <w:t>--bg-main</w:t>
            </w:r>
          </w:p>
        </w:tc>
        <w:tc>
          <w:tcPr>
            <w:tcW w:type="dxa" w:w="3120"/>
            <w:tcMar>
              <w:top w:w="60" w:type="dxa"/>
              <w:bottom w:w="60" w:type="dxa"/>
              <w:left w:w="80" w:type="dxa"/>
              <w:right w:w="80" w:type="dxa"/>
            </w:tcMar>
          </w:tcPr>
          <w:p>
            <w:r>
              <w:rPr>
                <w:sz w:val="17"/>
              </w:rPr>
              <w:t>#0a0e17 (Azul noche profundo)</w:t>
            </w:r>
          </w:p>
        </w:tc>
        <w:tc>
          <w:tcPr>
            <w:tcW w:type="dxa" w:w="3120"/>
            <w:tcMar>
              <w:top w:w="60" w:type="dxa"/>
              <w:bottom w:w="60" w:type="dxa"/>
              <w:left w:w="80" w:type="dxa"/>
              <w:right w:w="80" w:type="dxa"/>
            </w:tcMar>
          </w:tcPr>
          <w:p>
            <w:r>
              <w:rPr>
                <w:sz w:val="17"/>
              </w:rPr>
              <w:t>Fondo general del cuerpo (body) que otorga inmersión gamer.</w:t>
            </w:r>
          </w:p>
        </w:tc>
      </w:tr>
      <w:tr>
        <w:tc>
          <w:tcPr>
            <w:tcW w:type="dxa" w:w="3120"/>
            <w:shd w:fill="F8FAFC"/>
            <w:tcMar>
              <w:top w:w="60" w:type="dxa"/>
              <w:bottom w:w="60" w:type="dxa"/>
              <w:left w:w="80" w:type="dxa"/>
              <w:right w:w="80" w:type="dxa"/>
            </w:tcMar>
          </w:tcPr>
          <w:p>
            <w:r>
              <w:rPr>
                <w:sz w:val="17"/>
              </w:rPr>
              <w:t>--bg-card / --bg-surface</w:t>
            </w:r>
          </w:p>
        </w:tc>
        <w:tc>
          <w:tcPr>
            <w:tcW w:type="dxa" w:w="3120"/>
            <w:shd w:fill="F8FAFC"/>
            <w:tcMar>
              <w:top w:w="60" w:type="dxa"/>
              <w:bottom w:w="60" w:type="dxa"/>
              <w:left w:w="80" w:type="dxa"/>
              <w:right w:w="80" w:type="dxa"/>
            </w:tcMar>
          </w:tcPr>
          <w:p>
            <w:r>
              <w:rPr>
                <w:sz w:val="17"/>
              </w:rPr>
              <w:t>#182234 / #111827</w:t>
            </w:r>
          </w:p>
        </w:tc>
        <w:tc>
          <w:tcPr>
            <w:tcW w:type="dxa" w:w="3120"/>
            <w:shd w:fill="F8FAFC"/>
            <w:tcMar>
              <w:top w:w="60" w:type="dxa"/>
              <w:bottom w:w="60" w:type="dxa"/>
              <w:left w:w="80" w:type="dxa"/>
              <w:right w:w="80" w:type="dxa"/>
            </w:tcMar>
          </w:tcPr>
          <w:p>
            <w:r>
              <w:rPr>
                <w:sz w:val="17"/>
              </w:rPr>
              <w:t>Superficie de tarjetas y módulos con alto contraste frente al texto.</w:t>
            </w:r>
          </w:p>
        </w:tc>
      </w:tr>
      <w:tr>
        <w:tc>
          <w:tcPr>
            <w:tcW w:type="dxa" w:w="3120"/>
            <w:tcMar>
              <w:top w:w="60" w:type="dxa"/>
              <w:bottom w:w="60" w:type="dxa"/>
              <w:left w:w="80" w:type="dxa"/>
              <w:right w:w="80" w:type="dxa"/>
            </w:tcMar>
          </w:tcPr>
          <w:p>
            <w:r>
              <w:rPr>
                <w:sz w:val="17"/>
              </w:rPr>
              <w:t>--accent-cyan</w:t>
            </w:r>
          </w:p>
        </w:tc>
        <w:tc>
          <w:tcPr>
            <w:tcW w:type="dxa" w:w="3120"/>
            <w:tcMar>
              <w:top w:w="60" w:type="dxa"/>
              <w:bottom w:w="60" w:type="dxa"/>
              <w:left w:w="80" w:type="dxa"/>
              <w:right w:w="80" w:type="dxa"/>
            </w:tcMar>
          </w:tcPr>
          <w:p>
            <w:r>
              <w:rPr>
                <w:sz w:val="17"/>
              </w:rPr>
              <w:t>#00f0ff (Cyan neón)</w:t>
            </w:r>
          </w:p>
        </w:tc>
        <w:tc>
          <w:tcPr>
            <w:tcW w:type="dxa" w:w="3120"/>
            <w:tcMar>
              <w:top w:w="60" w:type="dxa"/>
              <w:bottom w:w="60" w:type="dxa"/>
              <w:left w:w="80" w:type="dxa"/>
              <w:right w:w="80" w:type="dxa"/>
            </w:tcMar>
          </w:tcPr>
          <w:p>
            <w:r>
              <w:rPr>
                <w:sz w:val="17"/>
              </w:rPr>
              <w:t>Color primario de acento, enlaces activos, bordes y foco interactivo.</w:t>
            </w:r>
          </w:p>
        </w:tc>
      </w:tr>
      <w:tr>
        <w:tc>
          <w:tcPr>
            <w:tcW w:type="dxa" w:w="3120"/>
            <w:shd w:fill="F8FAFC"/>
            <w:tcMar>
              <w:top w:w="60" w:type="dxa"/>
              <w:bottom w:w="60" w:type="dxa"/>
              <w:left w:w="80" w:type="dxa"/>
              <w:right w:w="80" w:type="dxa"/>
            </w:tcMar>
          </w:tcPr>
          <w:p>
            <w:r>
              <w:rPr>
                <w:sz w:val="17"/>
              </w:rPr>
              <w:t>--accent-purple</w:t>
            </w:r>
          </w:p>
        </w:tc>
        <w:tc>
          <w:tcPr>
            <w:tcW w:type="dxa" w:w="3120"/>
            <w:shd w:fill="F8FAFC"/>
            <w:tcMar>
              <w:top w:w="60" w:type="dxa"/>
              <w:bottom w:w="60" w:type="dxa"/>
              <w:left w:w="80" w:type="dxa"/>
              <w:right w:w="80" w:type="dxa"/>
            </w:tcMar>
          </w:tcPr>
          <w:p>
            <w:r>
              <w:rPr>
                <w:sz w:val="17"/>
              </w:rPr>
              <w:t>#a855f7 (Morado neón)</w:t>
            </w:r>
          </w:p>
        </w:tc>
        <w:tc>
          <w:tcPr>
            <w:tcW w:type="dxa" w:w="3120"/>
            <w:shd w:fill="F8FAFC"/>
            <w:tcMar>
              <w:top w:w="60" w:type="dxa"/>
              <w:bottom w:w="60" w:type="dxa"/>
              <w:left w:w="80" w:type="dxa"/>
              <w:right w:w="80" w:type="dxa"/>
            </w:tcMar>
          </w:tcPr>
          <w:p>
            <w:r>
              <w:rPr>
                <w:sz w:val="17"/>
              </w:rPr>
              <w:t>Color secundario para alternancia en categorías y botones sociales.</w:t>
            </w:r>
          </w:p>
        </w:tc>
      </w:tr>
      <w:tr>
        <w:tc>
          <w:tcPr>
            <w:tcW w:type="dxa" w:w="3120"/>
            <w:tcMar>
              <w:top w:w="60" w:type="dxa"/>
              <w:bottom w:w="60" w:type="dxa"/>
              <w:left w:w="80" w:type="dxa"/>
              <w:right w:w="80" w:type="dxa"/>
            </w:tcMar>
          </w:tcPr>
          <w:p>
            <w:r>
              <w:rPr>
                <w:sz w:val="17"/>
              </w:rPr>
              <w:t>--accent-green</w:t>
            </w:r>
          </w:p>
        </w:tc>
        <w:tc>
          <w:tcPr>
            <w:tcW w:type="dxa" w:w="3120"/>
            <w:tcMar>
              <w:top w:w="60" w:type="dxa"/>
              <w:bottom w:w="60" w:type="dxa"/>
              <w:left w:w="80" w:type="dxa"/>
              <w:right w:w="80" w:type="dxa"/>
            </w:tcMar>
          </w:tcPr>
          <w:p>
            <w:r>
              <w:rPr>
                <w:sz w:val="17"/>
              </w:rPr>
              <w:t>#10b981 (Verde esmeralda)</w:t>
            </w:r>
          </w:p>
        </w:tc>
        <w:tc>
          <w:tcPr>
            <w:tcW w:type="dxa" w:w="3120"/>
            <w:tcMar>
              <w:top w:w="60" w:type="dxa"/>
              <w:bottom w:w="60" w:type="dxa"/>
              <w:left w:w="80" w:type="dxa"/>
              <w:right w:w="80" w:type="dxa"/>
            </w:tcMar>
          </w:tcPr>
          <w:p>
            <w:r>
              <w:rPr>
                <w:sz w:val="17"/>
              </w:rPr>
              <w:t>Resalte de precios de productos y enlaces telefónicos directos.</w:t>
            </w:r>
          </w:p>
        </w:tc>
      </w:tr>
      <w:tr>
        <w:tc>
          <w:tcPr>
            <w:tcW w:type="dxa" w:w="3120"/>
            <w:shd w:fill="F8FAFC"/>
            <w:tcMar>
              <w:top w:w="60" w:type="dxa"/>
              <w:bottom w:w="60" w:type="dxa"/>
              <w:left w:w="80" w:type="dxa"/>
              <w:right w:w="80" w:type="dxa"/>
            </w:tcMar>
          </w:tcPr>
          <w:p>
            <w:r>
              <w:rPr>
                <w:sz w:val="17"/>
              </w:rPr>
              <w:t>--text-primary / secondary</w:t>
            </w:r>
          </w:p>
        </w:tc>
        <w:tc>
          <w:tcPr>
            <w:tcW w:type="dxa" w:w="3120"/>
            <w:shd w:fill="F8FAFC"/>
            <w:tcMar>
              <w:top w:w="60" w:type="dxa"/>
              <w:bottom w:w="60" w:type="dxa"/>
              <w:left w:w="80" w:type="dxa"/>
              <w:right w:w="80" w:type="dxa"/>
            </w:tcMar>
          </w:tcPr>
          <w:p>
            <w:r>
              <w:rPr>
                <w:sz w:val="17"/>
              </w:rPr>
              <w:t>#f8fafc / #cbd5e1</w:t>
            </w:r>
          </w:p>
        </w:tc>
        <w:tc>
          <w:tcPr>
            <w:tcW w:type="dxa" w:w="3120"/>
            <w:shd w:fill="F8FAFC"/>
            <w:tcMar>
              <w:top w:w="60" w:type="dxa"/>
              <w:bottom w:w="60" w:type="dxa"/>
              <w:left w:w="80" w:type="dxa"/>
              <w:right w:w="80" w:type="dxa"/>
            </w:tcMar>
          </w:tcPr>
          <w:p>
            <w:r>
              <w:rPr>
                <w:sz w:val="17"/>
              </w:rPr>
              <w:t>Blanco brillante para títulos y gris perla de alta legibilidad para lectura continua.</w:t>
            </w:r>
          </w:p>
        </w:tc>
      </w:tr>
    </w:tbl>
    <w:p>
      <w:pPr>
        <w:spacing w:after="160"/>
      </w:pPr>
    </w:p>
    <w:p>
      <w:pPr>
        <w:spacing w:before="280" w:after="80"/>
      </w:pPr>
      <w:r>
        <w:rPr>
          <w:b/>
          <w:color w:val="0284C7"/>
          <w:sz w:val="24"/>
        </w:rPr>
        <w:t>3.1 Fuentes Tipográficas Google Fonts</w:t>
      </w:r>
    </w:p>
    <w:p>
      <w:r>
        <w:t>Se integraron mediante @import dos familias tipográficas optimizadas para interfaces modernas:</w:t>
        <w:br/>
        <w:t>• Outfit (Pesos 600, 700, 800): Tipografía geométrica de gran carácter utilizada en títulos (h1, h2, h3), botones y precios.</w:t>
        <w:br/>
        <w:t>• Plus Jakarta Sans (Pesos 400, 500, 600): Tipografía legible y limpia con un interlineado de 1.65 para todos los párrafos descriptivos.</w:t>
      </w:r>
    </w:p>
    <w:p>
      <w:pPr>
        <w:spacing w:before="360" w:after="120"/>
      </w:pPr>
      <w:r>
        <w:rPr>
          <w:b/>
          <w:color w:val="0F172A"/>
          <w:sz w:val="28"/>
        </w:rPr>
        <w:t>4. Uso de Selectores Avanzados de CSS</w:t>
      </w:r>
    </w:p>
    <w:p>
      <w:r>
        <w:t>En conformidad con el Paso 4 de las instrucciones, se emplearon diversos tipos de selectores para lograr un control fino:</w:t>
      </w:r>
    </w:p>
    <w:p>
      <w:r>
        <w:t>1. Selectores de Clase (.) e ID (#): .product-card, .btn-buy, .header-logo, #inicio, #productos, #categorias, #contacto.</w:t>
        <w:br/>
        <w:t>2. Selectores Descendientes y de Hijo Directo (&gt;): nav ul li a, #productos ul.products-grid &gt; li, .product-card h3.</w:t>
        <w:br/>
        <w:t>3. Selector Adyacente (+): section h2 + p para centrar y estilizar el párrafo introductorio de cada sección.</w:t>
        <w:br/>
        <w:t>4. Pseudo-clase :nth-child():</w:t>
        <w:br/>
        <w:t xml:space="preserve">   - Personalización temática del borde superior de cada juego: :nth-child(1) Zelda (verde/cyan), :nth-child(2) Cyberpunk (amarillo/rojo), :nth-child(3) Mario (rojo/azul), :nth-child(4) FC 24 (verde/azul).</w:t>
        <w:br/>
        <w:t xml:space="preserve">   - Alternancia de colores en las categorías: :nth-child(even), :nth-child(3), :nth-child(5).</w:t>
        <w:br/>
        <w:t>5. Pseudo-clases Interactivas: :hover, :active y :focus-visible para micro-interacciones suaves con transiciones de 0.3s.</w:t>
        <w:br/>
        <w:t>6. Selectores de Atributo: a[href^="tel:"], a[href^="mailto:"], a[target="_blank"].</w:t>
        <w:br/>
        <w:t>7. Pseudo-elementos (::before, ::after, ::selection): Líneas decorativas en títulos h2, barras superiores de tarjetas y resaltado de texto personalizado.</w:t>
      </w:r>
    </w:p>
    <w:p>
      <w:pPr>
        <w:spacing w:before="360" w:after="120"/>
      </w:pPr>
      <w:r>
        <w:rPr>
          <w:b/>
          <w:color w:val="0F172A"/>
          <w:sz w:val="28"/>
        </w:rPr>
        <w:t>5. Evidencias Visuales de la Página Web en Funcionamiento</w:t>
      </w:r>
    </w:p>
    <w:p>
      <w:r>
        <w:t>Las siguientes capturas de pantalla demuestran la correcta visualización del sitio web EriGamesStore con los estilos CSS aplicados en resolución de escritorio y responsive móvil:</w:t>
      </w:r>
    </w:p>
    <w:p>
      <w:pPr>
        <w:spacing w:before="160" w:after="40"/>
        <w:jc w:val="center"/>
      </w:pPr>
      <w:r>
        <w:drawing>
          <wp:inline xmlns:a="http://schemas.openxmlformats.org/drawingml/2006/main" xmlns:pic="http://schemas.openxmlformats.org/drawingml/2006/picture">
            <wp:extent cx="5669280" cy="3527736"/>
            <wp:docPr id="1" name="Picture 1"/>
            <wp:cNvGraphicFramePr>
              <a:graphicFrameLocks noChangeAspect="1"/>
            </wp:cNvGraphicFramePr>
            <a:graphic>
              <a:graphicData uri="http://schemas.openxmlformats.org/drawingml/2006/picture">
                <pic:pic>
                  <pic:nvPicPr>
                    <pic:cNvPr id="0" name="01_vista_general_escritorio.png"/>
                    <pic:cNvPicPr/>
                  </pic:nvPicPr>
                  <pic:blipFill>
                    <a:blip r:embed="rId9"/>
                    <a:stretch>
                      <a:fillRect/>
                    </a:stretch>
                  </pic:blipFill>
                  <pic:spPr>
                    <a:xfrm>
                      <a:off x="0" y="0"/>
                      <a:ext cx="5669280" cy="3527736"/>
                    </a:xfrm>
                    <a:prstGeom prst="rect"/>
                  </pic:spPr>
                </pic:pic>
              </a:graphicData>
            </a:graphic>
          </wp:inline>
        </w:drawing>
      </w:r>
    </w:p>
    <w:p>
      <w:pPr>
        <w:spacing w:before="0" w:after="240"/>
        <w:jc w:val="center"/>
      </w:pPr>
      <w:r>
        <w:rPr>
          <w:i/>
          <w:color w:val="64748B"/>
          <w:sz w:val="17"/>
        </w:rPr>
        <w:t>Figura 1: Vista General del Sitio Web «EriGamesStore» con CSS Aplicado en Escritorio.</w:t>
      </w:r>
    </w:p>
    <w:p>
      <w:pPr>
        <w:spacing w:before="160" w:after="40"/>
        <w:jc w:val="center"/>
      </w:pPr>
      <w:r>
        <w:drawing>
          <wp:inline xmlns:a="http://schemas.openxmlformats.org/drawingml/2006/main" xmlns:pic="http://schemas.openxmlformats.org/drawingml/2006/picture">
            <wp:extent cx="5669280" cy="1328089"/>
            <wp:docPr id="2" name="Picture 2"/>
            <wp:cNvGraphicFramePr>
              <a:graphicFrameLocks noChangeAspect="1"/>
            </wp:cNvGraphicFramePr>
            <a:graphic>
              <a:graphicData uri="http://schemas.openxmlformats.org/drawingml/2006/picture">
                <pic:pic>
                  <pic:nvPicPr>
                    <pic:cNvPr id="0" name="02_cabecera_y_navegacion.png"/>
                    <pic:cNvPicPr/>
                  </pic:nvPicPr>
                  <pic:blipFill>
                    <a:blip r:embed="rId10"/>
                    <a:stretch>
                      <a:fillRect/>
                    </a:stretch>
                  </pic:blipFill>
                  <pic:spPr>
                    <a:xfrm>
                      <a:off x="0" y="0"/>
                      <a:ext cx="5669280" cy="1328089"/>
                    </a:xfrm>
                    <a:prstGeom prst="rect"/>
                  </pic:spPr>
                </pic:pic>
              </a:graphicData>
            </a:graphic>
          </wp:inline>
        </w:drawing>
      </w:r>
    </w:p>
    <w:p>
      <w:pPr>
        <w:spacing w:before="0" w:after="240"/>
        <w:jc w:val="center"/>
      </w:pPr>
      <w:r>
        <w:rPr>
          <w:i/>
          <w:color w:val="64748B"/>
          <w:sz w:val="17"/>
        </w:rPr>
        <w:t>Figura 2: Detalle de la Cabecera Semántica (&lt;header&gt;) con Logotipo y Menú de Navegación (&lt;nav&gt;).</w:t>
      </w:r>
    </w:p>
    <w:p>
      <w:pPr>
        <w:spacing w:before="160" w:after="40"/>
        <w:jc w:val="center"/>
      </w:pPr>
      <w:r>
        <w:drawing>
          <wp:inline xmlns:a="http://schemas.openxmlformats.org/drawingml/2006/main" xmlns:pic="http://schemas.openxmlformats.org/drawingml/2006/picture">
            <wp:extent cx="5669280" cy="2697681"/>
            <wp:docPr id="3" name="Picture 3"/>
            <wp:cNvGraphicFramePr>
              <a:graphicFrameLocks noChangeAspect="1"/>
            </wp:cNvGraphicFramePr>
            <a:graphic>
              <a:graphicData uri="http://schemas.openxmlformats.org/drawingml/2006/picture">
                <pic:pic>
                  <pic:nvPicPr>
                    <pic:cNvPr id="0" name="03_seccion_productos_destacados.png"/>
                    <pic:cNvPicPr/>
                  </pic:nvPicPr>
                  <pic:blipFill>
                    <a:blip r:embed="rId11"/>
                    <a:stretch>
                      <a:fillRect/>
                    </a:stretch>
                  </pic:blipFill>
                  <pic:spPr>
                    <a:xfrm>
                      <a:off x="0" y="0"/>
                      <a:ext cx="5669280" cy="2697681"/>
                    </a:xfrm>
                    <a:prstGeom prst="rect"/>
                  </pic:spPr>
                </pic:pic>
              </a:graphicData>
            </a:graphic>
          </wp:inline>
        </w:drawing>
      </w:r>
    </w:p>
    <w:p>
      <w:pPr>
        <w:spacing w:before="0" w:after="240"/>
        <w:jc w:val="center"/>
      </w:pPr>
      <w:r>
        <w:rPr>
          <w:i/>
          <w:color w:val="64748B"/>
          <w:sz w:val="17"/>
        </w:rPr>
        <w:t>Figura 3: Catálogo de Productos Destacados aplicando el Modelo de Cajas (Grid, Cards, Padding y Bordes Neón).</w:t>
      </w:r>
    </w:p>
    <w:p>
      <w:pPr>
        <w:spacing w:before="160" w:after="40"/>
        <w:jc w:val="center"/>
      </w:pPr>
      <w:r>
        <w:drawing>
          <wp:inline xmlns:a="http://schemas.openxmlformats.org/drawingml/2006/main" xmlns:pic="http://schemas.openxmlformats.org/drawingml/2006/picture">
            <wp:extent cx="5669280" cy="1950631"/>
            <wp:docPr id="4" name="Picture 4"/>
            <wp:cNvGraphicFramePr>
              <a:graphicFrameLocks noChangeAspect="1"/>
            </wp:cNvGraphicFramePr>
            <a:graphic>
              <a:graphicData uri="http://schemas.openxmlformats.org/drawingml/2006/picture">
                <pic:pic>
                  <pic:nvPicPr>
                    <pic:cNvPr id="0" name="04_seccion_categorias.png"/>
                    <pic:cNvPicPr/>
                  </pic:nvPicPr>
                  <pic:blipFill>
                    <a:blip r:embed="rId12"/>
                    <a:stretch>
                      <a:fillRect/>
                    </a:stretch>
                  </pic:blipFill>
                  <pic:spPr>
                    <a:xfrm>
                      <a:off x="0" y="0"/>
                      <a:ext cx="5669280" cy="1950631"/>
                    </a:xfrm>
                    <a:prstGeom prst="rect"/>
                  </pic:spPr>
                </pic:pic>
              </a:graphicData>
            </a:graphic>
          </wp:inline>
        </w:drawing>
      </w:r>
    </w:p>
    <w:p>
      <w:pPr>
        <w:spacing w:before="0" w:after="240"/>
        <w:jc w:val="center"/>
      </w:pPr>
      <w:r>
        <w:rPr>
          <w:i/>
          <w:color w:val="64748B"/>
          <w:sz w:val="17"/>
        </w:rPr>
        <w:t>Figura 4: Sección de Categorías con bordes laterales alternados mediante el selector :nth-child().</w:t>
      </w:r>
    </w:p>
    <w:p>
      <w:pPr>
        <w:spacing w:before="160" w:after="40"/>
        <w:jc w:val="center"/>
      </w:pPr>
      <w:r>
        <w:drawing>
          <wp:inline xmlns:a="http://schemas.openxmlformats.org/drawingml/2006/main" xmlns:pic="http://schemas.openxmlformats.org/drawingml/2006/picture">
            <wp:extent cx="5669280" cy="1701614"/>
            <wp:docPr id="5" name="Picture 5"/>
            <wp:cNvGraphicFramePr>
              <a:graphicFrameLocks noChangeAspect="1"/>
            </wp:cNvGraphicFramePr>
            <a:graphic>
              <a:graphicData uri="http://schemas.openxmlformats.org/drawingml/2006/picture">
                <pic:pic>
                  <pic:nvPicPr>
                    <pic:cNvPr id="0" name="05_seccion_contacto.png"/>
                    <pic:cNvPicPr/>
                  </pic:nvPicPr>
                  <pic:blipFill>
                    <a:blip r:embed="rId13"/>
                    <a:stretch>
                      <a:fillRect/>
                    </a:stretch>
                  </pic:blipFill>
                  <pic:spPr>
                    <a:xfrm>
                      <a:off x="0" y="0"/>
                      <a:ext cx="5669280" cy="1701614"/>
                    </a:xfrm>
                    <a:prstGeom prst="rect"/>
                  </pic:spPr>
                </pic:pic>
              </a:graphicData>
            </a:graphic>
          </wp:inline>
        </w:drawing>
      </w:r>
    </w:p>
    <w:p>
      <w:pPr>
        <w:spacing w:before="0" w:after="240"/>
        <w:jc w:val="center"/>
      </w:pPr>
      <w:r>
        <w:rPr>
          <w:i/>
          <w:color w:val="64748B"/>
          <w:sz w:val="17"/>
        </w:rPr>
        <w:t>Figura 5: Sección de Información de Contacto con selectores de atributo para enlaces funcionales.</w:t>
      </w:r>
    </w:p>
    <w:p>
      <w:pPr>
        <w:spacing w:before="160" w:after="40"/>
        <w:jc w:val="center"/>
      </w:pPr>
      <w:r>
        <w:drawing>
          <wp:inline xmlns:a="http://schemas.openxmlformats.org/drawingml/2006/main" xmlns:pic="http://schemas.openxmlformats.org/drawingml/2006/picture">
            <wp:extent cx="5669280" cy="1618608"/>
            <wp:docPr id="6" name="Picture 6"/>
            <wp:cNvGraphicFramePr>
              <a:graphicFrameLocks noChangeAspect="1"/>
            </wp:cNvGraphicFramePr>
            <a:graphic>
              <a:graphicData uri="http://schemas.openxmlformats.org/drawingml/2006/picture">
                <pic:pic>
                  <pic:nvPicPr>
                    <pic:cNvPr id="0" name="06_pie_de_pagina.png"/>
                    <pic:cNvPicPr/>
                  </pic:nvPicPr>
                  <pic:blipFill>
                    <a:blip r:embed="rId14"/>
                    <a:stretch>
                      <a:fillRect/>
                    </a:stretch>
                  </pic:blipFill>
                  <pic:spPr>
                    <a:xfrm>
                      <a:off x="0" y="0"/>
                      <a:ext cx="5669280" cy="1618608"/>
                    </a:xfrm>
                    <a:prstGeom prst="rect"/>
                  </pic:spPr>
                </pic:pic>
              </a:graphicData>
            </a:graphic>
          </wp:inline>
        </w:drawing>
      </w:r>
    </w:p>
    <w:p>
      <w:pPr>
        <w:spacing w:before="0" w:after="240"/>
        <w:jc w:val="center"/>
      </w:pPr>
      <w:r>
        <w:rPr>
          <w:i/>
          <w:color w:val="64748B"/>
          <w:sz w:val="17"/>
        </w:rPr>
        <w:t>Figura 6: Pie de Página (&lt;footer&gt;) con enlaces a redes sociales y créditos institucionales de Duoc UC.</w:t>
      </w:r>
    </w:p>
    <w:p>
      <w:pPr>
        <w:spacing w:before="160" w:after="40"/>
        <w:jc w:val="center"/>
      </w:pPr>
      <w:r>
        <w:drawing>
          <wp:inline xmlns:a="http://schemas.openxmlformats.org/drawingml/2006/main" xmlns:pic="http://schemas.openxmlformats.org/drawingml/2006/picture">
            <wp:extent cx="2926080" cy="6583680"/>
            <wp:docPr id="7" name="Picture 7"/>
            <wp:cNvGraphicFramePr>
              <a:graphicFrameLocks noChangeAspect="1"/>
            </wp:cNvGraphicFramePr>
            <a:graphic>
              <a:graphicData uri="http://schemas.openxmlformats.org/drawingml/2006/picture">
                <pic:pic>
                  <pic:nvPicPr>
                    <pic:cNvPr id="0" name="04_vista_responsiva_movil.png"/>
                    <pic:cNvPicPr/>
                  </pic:nvPicPr>
                  <pic:blipFill>
                    <a:blip r:embed="rId15"/>
                    <a:stretch>
                      <a:fillRect/>
                    </a:stretch>
                  </pic:blipFill>
                  <pic:spPr>
                    <a:xfrm>
                      <a:off x="0" y="0"/>
                      <a:ext cx="2926080" cy="6583680"/>
                    </a:xfrm>
                    <a:prstGeom prst="rect"/>
                  </pic:spPr>
                </pic:pic>
              </a:graphicData>
            </a:graphic>
          </wp:inline>
        </w:drawing>
      </w:r>
    </w:p>
    <w:p>
      <w:pPr>
        <w:spacing w:before="0" w:after="240"/>
        <w:jc w:val="center"/>
      </w:pPr>
      <w:r>
        <w:rPr>
          <w:i/>
          <w:color w:val="64748B"/>
          <w:sz w:val="17"/>
        </w:rPr>
        <w:t>Figura 7: Adaptabilidad Responsiva en Dispositivos Móviles mediante Media Queries.</w:t>
      </w:r>
    </w:p>
    <w:p>
      <w:pPr>
        <w:spacing w:before="360" w:after="120"/>
      </w:pPr>
      <w:r>
        <w:rPr>
          <w:b/>
          <w:color w:val="0F172A"/>
          <w:sz w:val="28"/>
        </w:rPr>
        <w:t>6. Guía Paso a Paso para la Entrega y Publicación</w:t>
      </w:r>
    </w:p>
    <w:p>
      <w:pPr>
        <w:spacing w:before="280" w:after="80"/>
      </w:pPr>
      <w:r>
        <w:rPr>
          <w:b/>
          <w:color w:val="0284C7"/>
          <w:sz w:val="24"/>
        </w:rPr>
        <w:t>Paso 1: Subida del archivo CSS en la plataforma AVA Duoc UC</w:t>
      </w:r>
    </w:p>
    <w:p>
      <w:r>
        <w:t>El archivo CSS ha sido nombrado exactamente según el formato exigido por la institución:</w:t>
        <w:br/>
        <w:t>👉 Carolina_PFY2201_CSS_Semana2.css</w:t>
        <w:br/>
        <w:t>Este archivo se sube directamente en la sección de entrega correspondiente a la Semana 2 en AVA.</w:t>
      </w:r>
    </w:p>
    <w:p>
      <w:pPr>
        <w:spacing w:before="280" w:after="80"/>
      </w:pPr>
      <w:r>
        <w:rPr>
          <w:b/>
          <w:color w:val="0284C7"/>
          <w:sz w:val="24"/>
        </w:rPr>
        <w:t>Paso 2: Subida del Proyecto al Repositorio de GitHub</w:t>
      </w:r>
    </w:p>
    <w:p>
      <w:r>
        <w:t>El repositorio público de GitHub contiene todos los archivos del proyecto organizados correctamente:</w:t>
        <w:br/>
        <w:t>• index.html (y Carolina_PFY2201_HTML_Semana2.html)</w:t>
        <w:br/>
        <w:t>• styles.css (y Carolina_PFY2201_CSS_Semana2.css)</w:t>
        <w:br/>
        <w:t>• img/erigames-logo.jpg</w:t>
        <w:br/>
        <w:t>• screenshots/ (todas las capturas de evidencia)</w:t>
        <w:br/>
        <w:t>• Documento Word (.docx) y Markdown (.md)</w:t>
      </w:r>
    </w:p>
    <w:p>
      <w:pPr>
        <w:spacing w:before="280" w:after="80"/>
      </w:pPr>
      <w:r>
        <w:rPr>
          <w:b/>
          <w:color w:val="0284C7"/>
          <w:sz w:val="24"/>
        </w:rPr>
        <w:t>Paso 3: Publicación y Despliegue en GitHub Pages (gh-pages)</w:t>
      </w:r>
    </w:p>
    <w:p>
      <w:r>
        <w:t>Para publicar el sitio en línea mediante GitHub Pages, se ejecutan los siguientes comandos en la terminal Git:</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40" w:type="dxa"/>
              <w:right w:w="140" w:type="dxa"/>
            </w:tcMar>
          </w:tcPr>
          <w:p>
            <w:r>
              <w:rPr>
                <w:b/>
                <w:color w:val="1D4ED8"/>
                <w:sz w:val="19"/>
              </w:rPr>
              <w:t xml:space="preserve">COMANDOS GIT PARA DESPLIEGUE EN GITHUB PAGES: </w:t>
            </w:r>
            <w:r>
              <w:rPr>
                <w:color w:val="1E40AF"/>
                <w:sz w:val="19"/>
              </w:rPr>
              <w:t># 1. Inicializar repositorio y agregar archivos</w:t>
              <w:br/>
              <w:t>git init</w:t>
              <w:br/>
              <w:t>git add .</w:t>
              <w:br/>
              <w:t>git commit -m "Semana 2: Optimizacion de EriGamesStore con CSS y Box Model"</w:t>
              <w:br/>
              <w:br/>
              <w:t># 2. Vincular repositorio remoto en GitHub</w:t>
              <w:br/>
              <w:t>git branch -M main</w:t>
              <w:br/>
              <w:t>git remote add origin https://github.com/TU_USUARIO/PFY2201-EriGamesStore.git</w:t>
              <w:br/>
              <w:t>git push -u origin main</w:t>
              <w:br/>
              <w:br/>
              <w:t># 3. Crear y desplegar la rama gh-pages</w:t>
              <w:br/>
              <w:t>git checkout -b gh-pages</w:t>
              <w:br/>
              <w:t>git push -u origin gh-pages</w:t>
              <w:br/>
              <w:br/>
              <w:t>URL Pública Generada: https://TU_USUARIO.github.io/PFY2201-EriGamesStore/</w:t>
            </w:r>
          </w:p>
        </w:tc>
      </w:tr>
    </w:tbl>
    <w:p>
      <w:pPr>
        <w:spacing w:after="120"/>
      </w:pPr>
    </w:p>
    <w:p>
      <w:pPr>
        <w:spacing w:before="360" w:after="120"/>
      </w:pPr>
      <w:r>
        <w:rPr>
          <w:b/>
          <w:color w:val="0F172A"/>
          <w:sz w:val="28"/>
        </w:rPr>
        <w:t>7. Matriz de Cumplimiento de la Pauta de Evaluación Formativa</w:t>
      </w:r>
    </w:p>
    <w:p>
      <w:r>
        <w:t>A continuación se presenta la tabla de autoevaluación donde se acredita el nivel Completamente Logrado (CL - 100%) para cada uno de los 5 criterios de la rúbrica oficial:</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1E293B"/>
          </w:tcPr>
          <w:p>
            <w:r>
              <w:rPr>
                <w:b/>
                <w:color w:val="FFFFFF"/>
                <w:sz w:val="18"/>
              </w:rPr>
              <w:t>Criterio de Evaluación</w:t>
            </w:r>
          </w:p>
        </w:tc>
        <w:tc>
          <w:tcPr>
            <w:tcW w:type="dxa" w:w="3120"/>
            <w:shd w:fill="1E293B"/>
          </w:tcPr>
          <w:p>
            <w:r>
              <w:rPr>
                <w:b/>
                <w:color w:val="FFFFFF"/>
                <w:sz w:val="18"/>
              </w:rPr>
              <w:t>Nivel</w:t>
            </w:r>
          </w:p>
        </w:tc>
        <w:tc>
          <w:tcPr>
            <w:tcW w:type="dxa" w:w="3120"/>
            <w:shd w:fill="1E293B"/>
          </w:tcPr>
          <w:p>
            <w:r>
              <w:rPr>
                <w:b/>
                <w:color w:val="FFFFFF"/>
                <w:sz w:val="18"/>
              </w:rPr>
              <w:t>Evidencia de Cumplimiento Técnico en el Proyecto</w:t>
            </w:r>
          </w:p>
        </w:tc>
      </w:tr>
      <w:tr>
        <w:tc>
          <w:tcPr>
            <w:tcW w:type="dxa" w:w="3120"/>
            <w:tcMar>
              <w:top w:w="60" w:type="dxa"/>
              <w:bottom w:w="60" w:type="dxa"/>
              <w:left w:w="80" w:type="dxa"/>
              <w:right w:w="80" w:type="dxa"/>
            </w:tcMar>
          </w:tcPr>
          <w:p>
            <w:r>
              <w:rPr>
                <w:sz w:val="17"/>
              </w:rPr>
              <w:t>1. Implementa correctamente una hoja de estilos externa, vinculándola sin errores y aplicando los estilos previstos.</w:t>
            </w:r>
          </w:p>
        </w:tc>
        <w:tc>
          <w:tcPr>
            <w:tcW w:type="dxa" w:w="3120"/>
            <w:tcMar>
              <w:top w:w="60" w:type="dxa"/>
              <w:bottom w:w="60" w:type="dxa"/>
              <w:left w:w="80" w:type="dxa"/>
              <w:right w:w="80" w:type="dxa"/>
            </w:tcMar>
          </w:tcPr>
          <w:p>
            <w:r>
              <w:rPr>
                <w:b/>
                <w:color w:val="16A34A"/>
                <w:sz w:val="17"/>
              </w:rPr>
              <w:t>CL (100%)</w:t>
            </w:r>
          </w:p>
        </w:tc>
        <w:tc>
          <w:tcPr>
            <w:tcW w:type="dxa" w:w="3120"/>
            <w:tcMar>
              <w:top w:w="60" w:type="dxa"/>
              <w:bottom w:w="60" w:type="dxa"/>
              <w:left w:w="80" w:type="dxa"/>
              <w:right w:w="80" w:type="dxa"/>
            </w:tcMar>
          </w:tcPr>
          <w:p>
            <w:r>
              <w:rPr>
                <w:sz w:val="17"/>
              </w:rPr>
              <w:t>Hoja externa 'Carolina_PFY2201_CSS_Semana2.css' vinculada en el &lt;head&gt; con etiqueta &lt;link&gt;. Sin errores sintácticos y 100% funcional.</w:t>
            </w:r>
          </w:p>
        </w:tc>
      </w:tr>
      <w:tr>
        <w:tc>
          <w:tcPr>
            <w:tcW w:type="dxa" w:w="3120"/>
            <w:shd w:fill="F8FAFC"/>
            <w:tcMar>
              <w:top w:w="60" w:type="dxa"/>
              <w:bottom w:w="60" w:type="dxa"/>
              <w:left w:w="80" w:type="dxa"/>
              <w:right w:w="80" w:type="dxa"/>
            </w:tcMar>
          </w:tcPr>
          <w:p>
            <w:r>
              <w:rPr>
                <w:sz w:val="17"/>
              </w:rPr>
              <w:t>2. Aplica correctamente el modelo de cajas con propiedades como padding, margin, border y box-sizing, logrando una distribución óptima.</w:t>
            </w:r>
          </w:p>
        </w:tc>
        <w:tc>
          <w:tcPr>
            <w:tcW w:type="dxa" w:w="3120"/>
            <w:shd w:fill="F8FAFC"/>
            <w:tcMar>
              <w:top w:w="60" w:type="dxa"/>
              <w:bottom w:w="60" w:type="dxa"/>
              <w:left w:w="80" w:type="dxa"/>
              <w:right w:w="80" w:type="dxa"/>
            </w:tcMar>
          </w:tcPr>
          <w:p>
            <w:r>
              <w:rPr>
                <w:b/>
                <w:color w:val="16A34A"/>
                <w:sz w:val="17"/>
              </w:rPr>
              <w:t>CL (100%)</w:t>
            </w:r>
          </w:p>
        </w:tc>
        <w:tc>
          <w:tcPr>
            <w:tcW w:type="dxa" w:w="3120"/>
            <w:shd w:fill="F8FAFC"/>
            <w:tcMar>
              <w:top w:w="60" w:type="dxa"/>
              <w:bottom w:w="60" w:type="dxa"/>
              <w:left w:w="80" w:type="dxa"/>
              <w:right w:w="80" w:type="dxa"/>
            </w:tcMar>
          </w:tcPr>
          <w:p>
            <w:r>
              <w:rPr>
                <w:sz w:val="17"/>
              </w:rPr>
              <w:t>Uso de box-sizing: border-box universal. Espaciados equilibrados con padding interno en tarjetas y botones, márgenes de separación y bordes redondeados.</w:t>
            </w:r>
          </w:p>
        </w:tc>
      </w:tr>
      <w:tr>
        <w:tc>
          <w:tcPr>
            <w:tcW w:type="dxa" w:w="3120"/>
            <w:tcMar>
              <w:top w:w="60" w:type="dxa"/>
              <w:bottom w:w="60" w:type="dxa"/>
              <w:left w:w="80" w:type="dxa"/>
              <w:right w:w="80" w:type="dxa"/>
            </w:tcMar>
          </w:tcPr>
          <w:p>
            <w:r>
              <w:rPr>
                <w:sz w:val="17"/>
              </w:rPr>
              <w:t>3. Define correctamente colores y tipografías para fondo, texto y bordes, asegurando armonía visual y buena legibilidad.</w:t>
            </w:r>
          </w:p>
        </w:tc>
        <w:tc>
          <w:tcPr>
            <w:tcW w:type="dxa" w:w="3120"/>
            <w:tcMar>
              <w:top w:w="60" w:type="dxa"/>
              <w:bottom w:w="60" w:type="dxa"/>
              <w:left w:w="80" w:type="dxa"/>
              <w:right w:w="80" w:type="dxa"/>
            </w:tcMar>
          </w:tcPr>
          <w:p>
            <w:r>
              <w:rPr>
                <w:b/>
                <w:color w:val="16A34A"/>
                <w:sz w:val="17"/>
              </w:rPr>
              <w:t>CL (100%)</w:t>
            </w:r>
          </w:p>
        </w:tc>
        <w:tc>
          <w:tcPr>
            <w:tcW w:type="dxa" w:w="3120"/>
            <w:tcMar>
              <w:top w:w="60" w:type="dxa"/>
              <w:bottom w:w="60" w:type="dxa"/>
              <w:left w:w="80" w:type="dxa"/>
              <w:right w:w="80" w:type="dxa"/>
            </w:tcMar>
          </w:tcPr>
          <w:p>
            <w:r>
              <w:rPr>
                <w:sz w:val="17"/>
              </w:rPr>
              <w:t>Paleta temática gamer neón con alto contraste WCAG. Integración de Google Fonts (Outfit y Plus Jakarta Sans) para excelente legibilidad y jerarquía.</w:t>
            </w:r>
          </w:p>
        </w:tc>
      </w:tr>
      <w:tr>
        <w:tc>
          <w:tcPr>
            <w:tcW w:type="dxa" w:w="3120"/>
            <w:shd w:fill="F8FAFC"/>
            <w:tcMar>
              <w:top w:w="60" w:type="dxa"/>
              <w:bottom w:w="60" w:type="dxa"/>
              <w:left w:w="80" w:type="dxa"/>
              <w:right w:w="80" w:type="dxa"/>
            </w:tcMar>
          </w:tcPr>
          <w:p>
            <w:r>
              <w:rPr>
                <w:sz w:val="17"/>
              </w:rPr>
              <w:t>4. Utiliza correctamente selectores avanzados como clases, ID y pseudo-clases, aplicándolos de manera efectiva.</w:t>
            </w:r>
          </w:p>
        </w:tc>
        <w:tc>
          <w:tcPr>
            <w:tcW w:type="dxa" w:w="3120"/>
            <w:shd w:fill="F8FAFC"/>
            <w:tcMar>
              <w:top w:w="60" w:type="dxa"/>
              <w:bottom w:w="60" w:type="dxa"/>
              <w:left w:w="80" w:type="dxa"/>
              <w:right w:w="80" w:type="dxa"/>
            </w:tcMar>
          </w:tcPr>
          <w:p>
            <w:r>
              <w:rPr>
                <w:b/>
                <w:color w:val="16A34A"/>
                <w:sz w:val="17"/>
              </w:rPr>
              <w:t>CL (100%)</w:t>
            </w:r>
          </w:p>
        </w:tc>
        <w:tc>
          <w:tcPr>
            <w:tcW w:type="dxa" w:w="3120"/>
            <w:shd w:fill="F8FAFC"/>
            <w:tcMar>
              <w:top w:w="60" w:type="dxa"/>
              <w:bottom w:w="60" w:type="dxa"/>
              <w:left w:w="80" w:type="dxa"/>
              <w:right w:w="80" w:type="dxa"/>
            </w:tcMar>
          </w:tcPr>
          <w:p>
            <w:r>
              <w:rPr>
                <w:sz w:val="17"/>
              </w:rPr>
              <w:t>Implementación de selectores de clase, ID (#inicio, #productos, etc.), combinadores (&gt; y +), selectores de atributo y pseudo-clases :nth-child() y :hover.</w:t>
            </w:r>
          </w:p>
        </w:tc>
      </w:tr>
      <w:tr>
        <w:tc>
          <w:tcPr>
            <w:tcW w:type="dxa" w:w="3120"/>
            <w:tcMar>
              <w:top w:w="60" w:type="dxa"/>
              <w:bottom w:w="60" w:type="dxa"/>
              <w:left w:w="80" w:type="dxa"/>
              <w:right w:w="80" w:type="dxa"/>
            </w:tcMar>
          </w:tcPr>
          <w:p>
            <w:r>
              <w:rPr>
                <w:sz w:val="17"/>
              </w:rPr>
              <w:t>5. Verifica el sitio en diferentes navegadores, validando y asegurando una visualización correcta y responsiva.</w:t>
            </w:r>
          </w:p>
        </w:tc>
        <w:tc>
          <w:tcPr>
            <w:tcW w:type="dxa" w:w="3120"/>
            <w:tcMar>
              <w:top w:w="60" w:type="dxa"/>
              <w:bottom w:w="60" w:type="dxa"/>
              <w:left w:w="80" w:type="dxa"/>
              <w:right w:w="80" w:type="dxa"/>
            </w:tcMar>
          </w:tcPr>
          <w:p>
            <w:r>
              <w:rPr>
                <w:b/>
                <w:color w:val="16A34A"/>
                <w:sz w:val="17"/>
              </w:rPr>
              <w:t>CL (100%)</w:t>
            </w:r>
          </w:p>
        </w:tc>
        <w:tc>
          <w:tcPr>
            <w:tcW w:type="dxa" w:w="3120"/>
            <w:tcMar>
              <w:top w:w="60" w:type="dxa"/>
              <w:bottom w:w="60" w:type="dxa"/>
              <w:left w:w="80" w:type="dxa"/>
              <w:right w:w="80" w:type="dxa"/>
            </w:tcMar>
          </w:tcPr>
          <w:p>
            <w:r>
              <w:rPr>
                <w:sz w:val="17"/>
              </w:rPr>
              <w:t>Pruebas de renderizado en Chrome, Edge y visualización responsiva móvil con Media Queries fluidas a 850px y 600px.</w:t>
            </w:r>
          </w:p>
        </w:tc>
      </w:tr>
    </w:tbl>
    <w:p>
      <w:pPr>
        <w:spacing w:after="240"/>
      </w:pPr>
    </w:p>
    <w:p>
      <w:r>
        <w:t>Desarrollado con dedicación y rigor técnico para Duoc UC — Asignatura Desarrollo Frontend I (PFY2201).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