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0B4F6C"/>
          <w:sz w:val="32"/>
          <w:szCs w:val="32"/>
        </w:rPr>
        <w:t xml:space="preserve">GlucoSense Pro — Objection-Handling Script</w:t>
      </w:r>
    </w:p>
    <w:p>
      <w:pPr>
        <w:spacing w:after="300"/>
      </w:pPr>
      <w:r>
        <w:rPr>
          <w:rFonts w:ascii="Calibri" w:cs="Calibri" w:eastAsia="Calibri" w:hAnsi="Calibri"/>
          <w:i/>
          <w:iCs/>
          <w:color w:val="555555"/>
          <w:sz w:val="19"/>
          <w:szCs w:val="19"/>
        </w:rPr>
        <w:t xml:space="preserve">Practice dialogue for common clinician pushback, with the reasoning behind each response.</w:t>
      </w:r>
    </w:p>
    <w:p>
      <w:pPr>
        <w:pStyle w:val="Heading1"/>
        <w:pBdr>
          <w:bottom w:val="single" w:color="00847A" w:sz="6"/>
        </w:pBdr>
        <w:spacing w:after="100" w:before="200"/>
      </w:pPr>
      <w:r>
        <w:rPr>
          <w:rFonts w:ascii="Calibri" w:cs="Calibri" w:eastAsia="Calibri" w:hAnsi="Calibri"/>
          <w:b/>
          <w:bCs/>
          <w:color w:val="0B4F6C"/>
          <w:sz w:val="26"/>
          <w:szCs w:val="26"/>
        </w:rPr>
        <w:t xml:space="preserve">Objection 1: "Will this actually get reimbursed?"</w:t>
      </w:r>
    </w:p>
    <w:p>
      <w:pPr>
        <w:spacing w:after="120" w:line="264"/>
      </w:pPr>
      <w:r>
        <w:rPr>
          <w:rFonts w:ascii="Calibri" w:cs="Calibri" w:eastAsia="Calibri" w:hAnsi="Calibri"/>
          <w:b/>
          <w:bCs/>
          <w:color w:val="00847A"/>
          <w:sz w:val="20"/>
          <w:szCs w:val="20"/>
        </w:rPr>
        <w:t xml:space="preserve">Clinician: </w:t>
      </w:r>
      <w:r>
        <w:rPr>
          <w:rFonts w:ascii="Calibri" w:cs="Calibri" w:eastAsia="Calibri" w:hAnsi="Calibri"/>
          <w:color w:val="222222"/>
          <w:sz w:val="20"/>
          <w:szCs w:val="20"/>
        </w:rPr>
        <w:t xml:space="preserve">"My patients can't afford another out-of-pocket device, and I don't want to prescribe something that stalls at the pharmacy."</w:t>
      </w:r>
    </w:p>
    <w:p>
      <w:pPr>
        <w:spacing w:after="120" w:line="264"/>
      </w:pPr>
      <w:r>
        <w:rPr>
          <w:rFonts w:ascii="Calibri" w:cs="Calibri" w:eastAsia="Calibri" w:hAnsi="Calibri"/>
          <w:b/>
          <w:bCs/>
          <w:color w:val="0B4F6C"/>
          <w:sz w:val="20"/>
          <w:szCs w:val="20"/>
        </w:rPr>
        <w:t xml:space="preserve">You: </w:t>
      </w:r>
      <w:r>
        <w:rPr>
          <w:rFonts w:ascii="Calibri" w:cs="Calibri" w:eastAsia="Calibri" w:hAnsi="Calibri"/>
          <w:color w:val="222222"/>
          <w:sz w:val="20"/>
          <w:szCs w:val="20"/>
        </w:rPr>
        <w:t xml:space="preserve">"That's the number one reason CGM scripts don't convert, so we built a coverage-check tool you can run at the point of prescription, and a short-term bridging supply while approval is pending, so treatment isn't held up by admin."</w:t>
      </w:r>
    </w:p>
    <w:p>
      <w:pPr>
        <w:spacing w:after="110" w:line="264"/>
      </w:pPr>
      <w:r>
        <w:rPr>
          <w:rFonts w:ascii="Calibri" w:cs="Calibri" w:eastAsia="Calibri" w:hAnsi="Calibri"/>
          <w:i/>
          <w:iCs/>
          <w:color w:val="555555"/>
          <w:sz w:val="17"/>
          <w:szCs w:val="17"/>
        </w:rPr>
        <w:t xml:space="preserve">Why this works: acknowledges the real, practical blocker first, then answers with a concrete process rather than a reassurance.</w:t>
      </w:r>
    </w:p>
    <w:p>
      <w:pPr>
        <w:pStyle w:val="Heading1"/>
        <w:pBdr>
          <w:bottom w:val="single" w:color="00847A" w:sz="6"/>
        </w:pBdr>
        <w:spacing w:after="100" w:before="200"/>
      </w:pPr>
      <w:r>
        <w:rPr>
          <w:rFonts w:ascii="Calibri" w:cs="Calibri" w:eastAsia="Calibri" w:hAnsi="Calibri"/>
          <w:b/>
          <w:bCs/>
          <w:color w:val="0B4F6C"/>
          <w:sz w:val="26"/>
          <w:szCs w:val="26"/>
        </w:rPr>
        <w:t xml:space="preserve">Objection 2: "My staff don't have time to learn a new device."</w:t>
      </w:r>
    </w:p>
    <w:p>
      <w:pPr>
        <w:spacing w:after="120" w:line="264"/>
      </w:pPr>
      <w:r>
        <w:rPr>
          <w:rFonts w:ascii="Calibri" w:cs="Calibri" w:eastAsia="Calibri" w:hAnsi="Calibri"/>
          <w:b/>
          <w:bCs/>
          <w:color w:val="00847A"/>
          <w:sz w:val="20"/>
          <w:szCs w:val="20"/>
        </w:rPr>
        <w:t xml:space="preserve">Clinician: </w:t>
      </w:r>
      <w:r>
        <w:rPr>
          <w:rFonts w:ascii="Calibri" w:cs="Calibri" w:eastAsia="Calibri" w:hAnsi="Calibri"/>
          <w:color w:val="222222"/>
          <w:sz w:val="20"/>
          <w:szCs w:val="20"/>
        </w:rPr>
        <w:t xml:space="preserve">"Every new device means retraining my nurses and fielding patient calls for weeks."</w:t>
      </w:r>
    </w:p>
    <w:p>
      <w:pPr>
        <w:spacing w:after="120" w:line="264"/>
      </w:pPr>
      <w:r>
        <w:rPr>
          <w:rFonts w:ascii="Calibri" w:cs="Calibri" w:eastAsia="Calibri" w:hAnsi="Calibri"/>
          <w:b/>
          <w:bCs/>
          <w:color w:val="0B4F6C"/>
          <w:sz w:val="20"/>
          <w:szCs w:val="20"/>
        </w:rPr>
        <w:t xml:space="preserve">You: </w:t>
      </w:r>
      <w:r>
        <w:rPr>
          <w:rFonts w:ascii="Calibri" w:cs="Calibri" w:eastAsia="Calibri" w:hAnsi="Calibri"/>
          <w:color w:val="222222"/>
          <w:sz w:val="20"/>
          <w:szCs w:val="20"/>
        </w:rPr>
        <w:t xml:space="preserve">"Completely fair, that's usually the real cost of adoption, not the device itself. Onboarding here is a single 20-minute in-practice session, plus an in-app walkthrough that handles most patient questions directly, so the ongoing support load on your staff is minimal."</w:t>
      </w:r>
    </w:p>
    <w:p>
      <w:pPr>
        <w:spacing w:after="110" w:line="264"/>
      </w:pPr>
      <w:r>
        <w:rPr>
          <w:rFonts w:ascii="Calibri" w:cs="Calibri" w:eastAsia="Calibri" w:hAnsi="Calibri"/>
          <w:i/>
          <w:iCs/>
          <w:color w:val="555555"/>
          <w:sz w:val="17"/>
          <w:szCs w:val="17"/>
        </w:rPr>
        <w:t xml:space="preserve">Why this works: names the true underlying cost (staff time, not clinical doubt) instead of arguing against a surface objection.</w:t>
      </w:r>
    </w:p>
    <w:p>
      <w:pPr>
        <w:pStyle w:val="Heading1"/>
        <w:pBdr>
          <w:bottom w:val="single" w:color="00847A" w:sz="6"/>
        </w:pBdr>
        <w:spacing w:after="100" w:before="200"/>
      </w:pPr>
      <w:r>
        <w:rPr>
          <w:rFonts w:ascii="Calibri" w:cs="Calibri" w:eastAsia="Calibri" w:hAnsi="Calibri"/>
          <w:b/>
          <w:bCs/>
          <w:color w:val="0B4F6C"/>
          <w:sz w:val="26"/>
          <w:szCs w:val="26"/>
        </w:rPr>
        <w:t xml:space="preserve">Objection 3: "We already use a competitor CGM."</w:t>
      </w:r>
    </w:p>
    <w:p>
      <w:pPr>
        <w:spacing w:after="120" w:line="264"/>
      </w:pPr>
      <w:r>
        <w:rPr>
          <w:rFonts w:ascii="Calibri" w:cs="Calibri" w:eastAsia="Calibri" w:hAnsi="Calibri"/>
          <w:b/>
          <w:bCs/>
          <w:color w:val="00847A"/>
          <w:sz w:val="20"/>
          <w:szCs w:val="20"/>
        </w:rPr>
        <w:t xml:space="preserve">Clinician: </w:t>
      </w:r>
      <w:r>
        <w:rPr>
          <w:rFonts w:ascii="Calibri" w:cs="Calibri" w:eastAsia="Calibri" w:hAnsi="Calibri"/>
          <w:color w:val="222222"/>
          <w:sz w:val="20"/>
          <w:szCs w:val="20"/>
        </w:rPr>
        <w:t xml:space="preserve">"We've built our whole diabetes program around another device, I don't see a reason to switch."</w:t>
      </w:r>
    </w:p>
    <w:p>
      <w:pPr>
        <w:spacing w:after="120" w:line="264"/>
      </w:pPr>
      <w:r>
        <w:rPr>
          <w:rFonts w:ascii="Calibri" w:cs="Calibri" w:eastAsia="Calibri" w:hAnsi="Calibri"/>
          <w:b/>
          <w:bCs/>
          <w:color w:val="0B4F6C"/>
          <w:sz w:val="20"/>
          <w:szCs w:val="20"/>
        </w:rPr>
        <w:t xml:space="preserve">You: </w:t>
      </w:r>
      <w:r>
        <w:rPr>
          <w:rFonts w:ascii="Calibri" w:cs="Calibri" w:eastAsia="Calibri" w:hAnsi="Calibri"/>
          <w:color w:val="222222"/>
          <w:sz w:val="20"/>
          <w:szCs w:val="20"/>
        </w:rPr>
        <w:t xml:space="preserve">"I'm not asking you to switch your panel, that would be a big ask with no upside for you yet. Start with your next new script, run it alongside your current device for one patient cycle, and compare accuracy and patient feedback directly. If it doesn't hold up, you've lost nothing."</w:t>
      </w:r>
    </w:p>
    <w:p>
      <w:pPr>
        <w:spacing w:after="110" w:line="264"/>
      </w:pPr>
      <w:r>
        <w:rPr>
          <w:rFonts w:ascii="Calibri" w:cs="Calibri" w:eastAsia="Calibri" w:hAnsi="Calibri"/>
          <w:i/>
          <w:iCs/>
          <w:color w:val="555555"/>
          <w:sz w:val="17"/>
          <w:szCs w:val="17"/>
        </w:rPr>
        <w:t xml:space="preserve">Why this works: lowers the ask to something low-risk and reversible, rather than requesting a full commitment upfront.</w:t>
      </w:r>
    </w:p>
    <w:p>
      <w:pPr>
        <w:pStyle w:val="Heading1"/>
        <w:pBdr>
          <w:bottom w:val="single" w:color="00847A" w:sz="6"/>
        </w:pBdr>
        <w:spacing w:after="100" w:before="200"/>
      </w:pPr>
      <w:r>
        <w:rPr>
          <w:rFonts w:ascii="Calibri" w:cs="Calibri" w:eastAsia="Calibri" w:hAnsi="Calibri"/>
          <w:b/>
          <w:bCs/>
          <w:color w:val="0B4F6C"/>
          <w:sz w:val="26"/>
          <w:szCs w:val="26"/>
        </w:rPr>
        <w:t xml:space="preserve">Objection 4: "Is the accuracy actually good enough to act on?"</w:t>
      </w:r>
    </w:p>
    <w:p>
      <w:pPr>
        <w:spacing w:after="120" w:line="264"/>
      </w:pPr>
      <w:r>
        <w:rPr>
          <w:rFonts w:ascii="Calibri" w:cs="Calibri" w:eastAsia="Calibri" w:hAnsi="Calibri"/>
          <w:b/>
          <w:bCs/>
          <w:color w:val="00847A"/>
          <w:sz w:val="20"/>
          <w:szCs w:val="20"/>
        </w:rPr>
        <w:t xml:space="preserve">Clinician: </w:t>
      </w:r>
      <w:r>
        <w:rPr>
          <w:rFonts w:ascii="Calibri" w:cs="Calibri" w:eastAsia="Calibri" w:hAnsi="Calibri"/>
          <w:color w:val="222222"/>
          <w:sz w:val="20"/>
          <w:szCs w:val="20"/>
        </w:rPr>
        <w:t xml:space="preserve">"I don't want to adjust insulin dosing off a device that isn't reliable."</w:t>
      </w:r>
    </w:p>
    <w:p>
      <w:pPr>
        <w:spacing w:after="120" w:line="264"/>
      </w:pPr>
      <w:r>
        <w:rPr>
          <w:rFonts w:ascii="Calibri" w:cs="Calibri" w:eastAsia="Calibri" w:hAnsi="Calibri"/>
          <w:b/>
          <w:bCs/>
          <w:color w:val="0B4F6C"/>
          <w:sz w:val="20"/>
          <w:szCs w:val="20"/>
        </w:rPr>
        <w:t xml:space="preserve">You: </w:t>
      </w:r>
      <w:r>
        <w:rPr>
          <w:rFonts w:ascii="Calibri" w:cs="Calibri" w:eastAsia="Calibri" w:hAnsi="Calibri"/>
          <w:color w:val="222222"/>
          <w:sz w:val="20"/>
          <w:szCs w:val="20"/>
        </w:rPr>
        <w:t xml:space="preserve">"That's exactly the right question to ask before trusting any CGM for dosing decisions. GlucoSense Pro has a MARD of around 10%, in line with the accuracy range independent studies consider clinically acceptable, and it's factory-calibrated so there's no fingerstick-dependent drift over the wear period."</w:t>
      </w:r>
    </w:p>
    <w:p>
      <w:pPr>
        <w:spacing w:after="110" w:line="264"/>
      </w:pPr>
      <w:r>
        <w:rPr>
          <w:rFonts w:ascii="Calibri" w:cs="Calibri" w:eastAsia="Calibri" w:hAnsi="Calibri"/>
          <w:i/>
          <w:iCs/>
          <w:color w:val="555555"/>
          <w:sz w:val="17"/>
          <w:szCs w:val="17"/>
        </w:rPr>
        <w:t xml:space="preserve">Why this works: answers with a specific accuracy metric and its clinical interpretation, not a vague claim of reliability.</w:t>
      </w:r>
    </w:p>
    <w:p>
      <w:pPr>
        <w:pStyle w:val="Heading1"/>
        <w:pBdr>
          <w:bottom w:val="single" w:color="00847A" w:sz="6"/>
        </w:pBdr>
        <w:spacing w:after="100" w:before="200"/>
      </w:pPr>
      <w:r>
        <w:rPr>
          <w:rFonts w:ascii="Calibri" w:cs="Calibri" w:eastAsia="Calibri" w:hAnsi="Calibri"/>
          <w:b/>
          <w:bCs/>
          <w:color w:val="0B4F6C"/>
          <w:sz w:val="26"/>
          <w:szCs w:val="26"/>
        </w:rPr>
        <w:t xml:space="preserve">Objection 5: "Will patients actually use it consistently?"</w:t>
      </w:r>
    </w:p>
    <w:p>
      <w:pPr>
        <w:spacing w:after="120" w:line="264"/>
      </w:pPr>
      <w:r>
        <w:rPr>
          <w:rFonts w:ascii="Calibri" w:cs="Calibri" w:eastAsia="Calibri" w:hAnsi="Calibri"/>
          <w:b/>
          <w:bCs/>
          <w:color w:val="00847A"/>
          <w:sz w:val="20"/>
          <w:szCs w:val="20"/>
        </w:rPr>
        <w:t xml:space="preserve">Clinician: </w:t>
      </w:r>
      <w:r>
        <w:rPr>
          <w:rFonts w:ascii="Calibri" w:cs="Calibri" w:eastAsia="Calibri" w:hAnsi="Calibri"/>
          <w:color w:val="222222"/>
          <w:sz w:val="20"/>
          <w:szCs w:val="20"/>
        </w:rPr>
        <w:t xml:space="preserve">"I've had patients abandon devices after a few weeks."</w:t>
      </w:r>
    </w:p>
    <w:p>
      <w:pPr>
        <w:spacing w:after="120" w:line="264"/>
      </w:pPr>
      <w:r>
        <w:rPr>
          <w:rFonts w:ascii="Calibri" w:cs="Calibri" w:eastAsia="Calibri" w:hAnsi="Calibri"/>
          <w:b/>
          <w:bCs/>
          <w:color w:val="0B4F6C"/>
          <w:sz w:val="20"/>
          <w:szCs w:val="20"/>
        </w:rPr>
        <w:t xml:space="preserve">You: </w:t>
      </w:r>
      <w:r>
        <w:rPr>
          <w:rFonts w:ascii="Calibri" w:cs="Calibri" w:eastAsia="Calibri" w:hAnsi="Calibri"/>
          <w:color w:val="222222"/>
          <w:sz w:val="20"/>
          <w:szCs w:val="20"/>
        </w:rPr>
        <w:t xml:space="preserve">"That's usually an onboarding and expectation-setting problem more than a device problem. We provide a structured first-two-weeks check-in with the patient, and practices that use it see meaningfully higher continued-use rates than those that don't."</w:t>
      </w:r>
    </w:p>
    <w:p>
      <w:pPr>
        <w:spacing w:after="110" w:line="264"/>
      </w:pPr>
      <w:r>
        <w:rPr>
          <w:rFonts w:ascii="Calibri" w:cs="Calibri" w:eastAsia="Calibri" w:hAnsi="Calibri"/>
          <w:i/>
          <w:iCs/>
          <w:color w:val="555555"/>
          <w:sz w:val="17"/>
          <w:szCs w:val="17"/>
        </w:rPr>
        <w:t xml:space="preserve">Why this works: reframes patient drop-off as a solvable process issue and offers a specific mechanism to address it, rather than dismissing the concern.</w:t>
      </w:r>
    </w:p>
    <w:p>
      <w:pPr>
        <w:pBdr>
          <w:top w:val="single" w:color="CCCCCC" w:sz="4"/>
        </w:pBdr>
        <w:spacing w:before="300"/>
      </w:pPr>
      <w:r>
        <w:rPr>
          <w:rFonts w:ascii="Calibri" w:cs="Calibri" w:eastAsia="Calibri" w:hAnsi="Calibri"/>
          <w:i/>
          <w:iCs/>
          <w:color w:val="555555"/>
          <w:sz w:val="16"/>
          <w:szCs w:val="16"/>
        </w:rPr>
        <w:t xml:space="preserve">Prepared by T. Hlongwane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GlucoSense Pro — Objection-Handling Script</dc:title>
  <dc:creator>T. Hlongwane</dc:creator>
  <cp:lastModifiedBy>Un-named</cp:lastModifiedBy>
  <cp:revision>1</cp:revision>
  <dcterms:created xsi:type="dcterms:W3CDTF">2026-07-03T18:03:44.602Z</dcterms:created>
  <dcterms:modified xsi:type="dcterms:W3CDTF">2026-07-03T18:03:44.602Z</dcterms:modified>
</cp:coreProperties>
</file>

<file path=docProps/custom.xml><?xml version="1.0" encoding="utf-8"?>
<Properties xmlns="http://schemas.openxmlformats.org/officeDocument/2006/custom-properties" xmlns:vt="http://schemas.openxmlformats.org/officeDocument/2006/docPropsVTypes"/>
</file>