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0B4F6C"/>
          <w:sz w:val="38"/>
          <w:szCs w:val="38"/>
        </w:rPr>
        <w:t xml:space="preserve">GLUCOSENSE PRO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00847A"/>
          <w:sz w:val="21"/>
          <w:szCs w:val="21"/>
        </w:rPr>
        <w:t xml:space="preserve">Continuous Glucose Monitor — Clinical Summary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00847A"/>
          <w:sz w:val="21"/>
          <w:szCs w:val="21"/>
        </w:rPr>
        <w:t xml:space="preserve">The Clinical Case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Fingerstick testing captures isolated points, not trends, and can miss overnight or post-prandial excursions entirely. Roughly half of Type 2 Diabetes patients fail to reach HbA1c targets under standard monitoring. Continuous glucose monitoring closes that visibility gap with a full trend line, not a snapshot.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00847A"/>
          <w:sz w:val="21"/>
          <w:szCs w:val="21"/>
        </w:rPr>
        <w:t xml:space="preserve">The Device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GlucoSense Pro is a factory-calibrated CGM with a 14-day wear sensor, requiring no fingerstick calibration. A hair-thin filament measures interstitial glucose roughly every minute, streaming continuous data with directional trend arrows to a paired app or reader.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14-day sensor wear, factory-calibrated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Accuracy (MARD) of approximately 10%, in line with leading CGMs on the market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Real-time trend arrows for rate-of-change, not just point-in-time values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00847A"/>
          <w:sz w:val="21"/>
          <w:szCs w:val="21"/>
        </w:rPr>
        <w:t xml:space="preserve">The Evidence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 a primary-care Type 2 Diabetes population on non-intensive therapy, CGM use was associated with a significantly greater HbA1c reduction than matched controls at 3 months (−0.62%, p&lt;0.01), alongside a Time-in-Range improvement from 39.7% to 61.9%. CGM is recognised by the American Diabetes Association as standard of care for patients on multiple daily insulin injections or insulin pumps, with a growing evidence base supporting benefit in non-insulin-intensive Type 2 patients managed in primary care.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00847A"/>
          <w:sz w:val="21"/>
          <w:szCs w:val="21"/>
        </w:rPr>
        <w:t xml:space="preserve">Who It Fits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Primary care — T2D patients on basal insulin or oral agents missing HbA1c targets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Endocrinology — T1D and insulin-pump patients where CGM is already standard of care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Diabetes educators — the practical point of contact for onboarding and troubleshooting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00847A"/>
          <w:sz w:val="21"/>
          <w:szCs w:val="21"/>
        </w:rPr>
        <w:t xml:space="preserve">The Honest Line</w:t>
      </w:r>
    </w:p>
    <w:p>
      <w:pPr>
        <w:spacing w:after="11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CGM adds the most value for patients on insulin or with unstable control; for well-controlled patients on minimal therapy, standard monitoring may remain appropriate, we'd rather flag that than oversell the indication.</w:t>
      </w:r>
    </w:p>
    <w:p>
      <w:pPr>
        <w:pBdr>
          <w:top w:val="single" w:color="CCCCCC" w:sz="4"/>
        </w:pBdr>
        <w:spacing w:before="20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Prepared by T. Hlongwane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GlucoSense Pro — Clinical One-Pager</dc:title>
  <dc:creator>T. Hlongwane</dc:creator>
  <cp:lastModifiedBy>Un-named</cp:lastModifiedBy>
  <cp:revision>1</cp:revision>
  <dcterms:created xsi:type="dcterms:W3CDTF">2026-07-03T18:03:44.594Z</dcterms:created>
  <dcterms:modified xsi:type="dcterms:W3CDTF">2026-07-03T18:03:44.594Z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