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CAD551" w14:textId="3CB9E83B" w:rsidR="00076C77" w:rsidRDefault="00000000">
      <w:pPr>
        <w:spacing w:line="360" w:lineRule="exact"/>
        <w:jc w:val="center"/>
        <w:rPr>
          <w:rFonts w:ascii="PMingLiU" w:hAnsi="PMingLiU" w:cs="PMingLiU"/>
          <w:b/>
          <w:sz w:val="32"/>
          <w:szCs w:val="32"/>
        </w:rPr>
      </w:pPr>
      <w:r>
        <w:rPr>
          <w:rFonts w:ascii="PMingLiU" w:hAnsi="PMingLiU" w:cs="PMingLiU" w:hint="eastAsia"/>
          <w:b/>
          <w:sz w:val="32"/>
          <w:szCs w:val="32"/>
        </w:rPr>
        <w:t>【附件</w:t>
      </w:r>
      <w:r w:rsidR="00D51AE3">
        <w:rPr>
          <w:rFonts w:ascii="PMingLiU" w:hAnsi="PMingLiU" w:cs="PMingLiU" w:hint="eastAsia"/>
          <w:b/>
          <w:sz w:val="32"/>
          <w:szCs w:val="32"/>
          <w:lang w:eastAsia="zh-CN"/>
        </w:rPr>
        <w:t>一</w:t>
      </w:r>
      <w:r>
        <w:rPr>
          <w:rFonts w:ascii="PMingLiU" w:hAnsi="PMingLiU" w:cs="PMingLiU" w:hint="eastAsia"/>
          <w:b/>
          <w:sz w:val="32"/>
          <w:szCs w:val="32"/>
        </w:rPr>
        <w:t>】供應商社會責任與環保準則(ESG)</w:t>
      </w:r>
    </w:p>
    <w:p w14:paraId="4E663CD9" w14:textId="725BDBC1" w:rsidR="00076C77" w:rsidRDefault="00000000">
      <w:pPr>
        <w:spacing w:beforeLines="100" w:before="312" w:afterLines="50" w:after="156" w:line="360" w:lineRule="exact"/>
        <w:rPr>
          <w:rFonts w:ascii="PMingLiU" w:hAnsi="PMingLiU" w:cs="PMingLiU"/>
          <w:bCs/>
        </w:rPr>
      </w:pPr>
      <w:r>
        <w:rPr>
          <w:rFonts w:ascii="PMingLiU" w:hAnsi="PMingLiU" w:cs="PMingLiU" w:hint="eastAsia"/>
          <w:bCs/>
        </w:rPr>
        <w:t>_____________________(以下稱本公司)作為</w:t>
      </w:r>
      <w:r>
        <w:rPr>
          <w:rFonts w:ascii="PMingLiU" w:hAnsi="PMingLiU" w:cs="PMingLiU" w:hint="eastAsia"/>
          <w:bCs/>
          <w:u w:val="single"/>
        </w:rPr>
        <w:t xml:space="preserve"> </w:t>
      </w:r>
      <w:r w:rsidR="000C7ABD" w:rsidRPr="005B333A">
        <w:rPr>
          <w:rFonts w:ascii="PMingLiU" w:hAnsi="PMingLiU" w:cs="PMingLiU"/>
          <w:color w:val="000000"/>
          <w:spacing w:val="-3"/>
          <w:u w:val="single"/>
        </w:rPr>
        <w:t>上海标竿信息科技有限公司</w:t>
      </w:r>
      <w:r>
        <w:rPr>
          <w:rFonts w:ascii="PMingLiU" w:hAnsi="PMingLiU" w:cs="PMingLiU" w:hint="eastAsia"/>
          <w:bCs/>
          <w:u w:val="single"/>
        </w:rPr>
        <w:t xml:space="preserve"> </w:t>
      </w:r>
      <w:r>
        <w:rPr>
          <w:rFonts w:ascii="PMingLiU" w:hAnsi="PMingLiU" w:cs="PMingLiU" w:hint="eastAsia"/>
          <w:bCs/>
        </w:rPr>
        <w:t>(以下稱</w:t>
      </w:r>
      <w:r w:rsidR="000C7ABD" w:rsidRPr="000C7ABD">
        <w:rPr>
          <w:rFonts w:ascii="PMingLiU" w:hAnsi="PMingLiU" w:cs="PMingLiU"/>
          <w:color w:val="000000"/>
          <w:spacing w:val="-3"/>
        </w:rPr>
        <w:t>上海标竿</w:t>
      </w:r>
      <w:r>
        <w:rPr>
          <w:rFonts w:ascii="PMingLiU" w:hAnsi="PMingLiU" w:cs="PMingLiU" w:hint="eastAsia"/>
          <w:bCs/>
        </w:rPr>
        <w:t>)之供應商以及全球供應鏈之一環，了解商業活動以及產品將影響社會、環境，為負起企業之社會責任，並配合</w:t>
      </w:r>
      <w:r w:rsidR="000C7ABD">
        <w:rPr>
          <w:rFonts w:ascii="PMingLiU" w:hAnsi="PMingLiU" w:cs="PMingLiU" w:hint="eastAsia"/>
          <w:bCs/>
          <w:lang w:eastAsia="zh-CN"/>
        </w:rPr>
        <w:t>上海标竿</w:t>
      </w:r>
      <w:r>
        <w:rPr>
          <w:rFonts w:ascii="PMingLiU" w:hAnsi="PMingLiU" w:cs="PMingLiU" w:hint="eastAsia"/>
          <w:bCs/>
        </w:rPr>
        <w:t>之社會責任政策，本公司承諾並保證如下：</w:t>
      </w:r>
    </w:p>
    <w:p w14:paraId="4339220E" w14:textId="77777777" w:rsidR="00076C77" w:rsidRDefault="00000000">
      <w:pPr>
        <w:numPr>
          <w:ilvl w:val="0"/>
          <w:numId w:val="1"/>
        </w:numPr>
        <w:spacing w:beforeLines="100" w:before="312" w:afterLines="50" w:after="156" w:line="360" w:lineRule="exact"/>
        <w:ind w:left="240" w:hangingChars="100" w:hanging="240"/>
        <w:rPr>
          <w:rFonts w:ascii="PMingLiU" w:hAnsi="PMingLiU" w:cs="PMingLiU"/>
          <w:b/>
        </w:rPr>
      </w:pPr>
      <w:r>
        <w:rPr>
          <w:rFonts w:ascii="PMingLiU" w:hAnsi="PMingLiU" w:cs="PMingLiU" w:hint="eastAsia"/>
          <w:b/>
        </w:rPr>
        <w:t>社會責任準則</w:t>
      </w:r>
    </w:p>
    <w:p w14:paraId="01DC4908" w14:textId="77777777" w:rsidR="00076C77" w:rsidRDefault="00000000">
      <w:pPr>
        <w:numPr>
          <w:ilvl w:val="0"/>
          <w:numId w:val="2"/>
        </w:numPr>
        <w:spacing w:beforeLines="100" w:before="312" w:afterLines="50" w:after="156" w:line="360" w:lineRule="exact"/>
        <w:rPr>
          <w:rFonts w:ascii="PMingLiU" w:hAnsi="PMingLiU" w:cs="PMingLiU"/>
          <w:bCs/>
        </w:rPr>
      </w:pPr>
      <w:r>
        <w:rPr>
          <w:rFonts w:ascii="PMingLiU" w:hAnsi="PMingLiU" w:cs="PMingLiU" w:hint="eastAsia"/>
          <w:bCs/>
        </w:rPr>
        <w:t>本公司尊重勞工之人權，本承諾書所指之勞工包括所有正式工、短期工、臨時工、實習生及其他任何類型之勞工。並保證符合下列標準：使勞工得以自由選擇職業、不使用童工、保護女工之權益及健康、不歧視勞工、禁止任何不人道之待遇、給勞工之工資福利及工時均符合當地法令規定、使勞工有結社之自由。</w:t>
      </w:r>
    </w:p>
    <w:p w14:paraId="7AEA787E" w14:textId="77777777" w:rsidR="00076C77" w:rsidRDefault="00000000">
      <w:pPr>
        <w:numPr>
          <w:ilvl w:val="0"/>
          <w:numId w:val="2"/>
        </w:numPr>
        <w:spacing w:beforeLines="100" w:before="312" w:afterLines="50" w:after="156" w:line="360" w:lineRule="exact"/>
        <w:rPr>
          <w:rFonts w:ascii="PMingLiU" w:hAnsi="PMingLiU" w:cs="PMingLiU"/>
          <w:bCs/>
        </w:rPr>
      </w:pPr>
      <w:r>
        <w:rPr>
          <w:rFonts w:ascii="PMingLiU" w:hAnsi="PMingLiU" w:cs="PMingLiU" w:hint="eastAsia"/>
          <w:bCs/>
        </w:rPr>
        <w:t>本公司提供勞工健康與安全之工作環境，包括保障勞工之職業安全、提供應急準備計畫、管理職業傷害與疾病、控制危險源、評估並控管特殊體力要求之工作隊勞工之影響、對機器做危險性評估、保持公共衛生、提供乾淨的餐廳及宿舍。</w:t>
      </w:r>
    </w:p>
    <w:p w14:paraId="101D69A6" w14:textId="77777777" w:rsidR="00076C77" w:rsidRDefault="00000000">
      <w:pPr>
        <w:numPr>
          <w:ilvl w:val="0"/>
          <w:numId w:val="2"/>
        </w:numPr>
        <w:spacing w:beforeLines="100" w:before="312" w:afterLines="50" w:after="156" w:line="360" w:lineRule="exact"/>
        <w:rPr>
          <w:rFonts w:ascii="PMingLiU" w:hAnsi="PMingLiU" w:cs="PMingLiU"/>
          <w:bCs/>
        </w:rPr>
      </w:pPr>
      <w:r>
        <w:rPr>
          <w:rFonts w:ascii="PMingLiU" w:hAnsi="PMingLiU" w:cs="PMingLiU" w:hint="eastAsia"/>
          <w:bCs/>
        </w:rPr>
        <w:t>本公司承擔環境責任，在製造過程中盡量減少對社會、環境和自然資源造成的不利影響，同時保護公眾的健康及安全。並保證符合下列標準：取得必要之環境許可和報告、預防汙染和節約資源、控管化學及有害物質之處理程序、控管廢水及固體廢棄物之處理程序、控管空氣排放之處理程序、遵守產品含量控制之相關法令規定。</w:t>
      </w:r>
    </w:p>
    <w:p w14:paraId="536AB0B0" w14:textId="77777777" w:rsidR="00076C77" w:rsidRDefault="00000000">
      <w:pPr>
        <w:numPr>
          <w:ilvl w:val="0"/>
          <w:numId w:val="2"/>
        </w:numPr>
        <w:spacing w:beforeLines="100" w:before="312" w:afterLines="50" w:after="156" w:line="360" w:lineRule="exact"/>
        <w:rPr>
          <w:rFonts w:ascii="PMingLiU" w:hAnsi="PMingLiU" w:cs="PMingLiU"/>
          <w:bCs/>
        </w:rPr>
      </w:pPr>
      <w:r>
        <w:rPr>
          <w:rFonts w:ascii="PMingLiU" w:hAnsi="PMingLiU" w:cs="PMingLiU" w:hint="eastAsia"/>
          <w:bCs/>
        </w:rPr>
        <w:t>本公司遵循最高標準道德要求，包括廉潔經營、無不正當收益、依照適用法令公開商業和財務狀況等相關訊息、在交易過程中遵守反腐敗法令(如FCPA)、尊重智慧財產權、執行公平交易廣告和競爭之標準、提供匿名申訴程序以保護檢舉者之身份機密性、在採購礦物時秉承負責任之態度、保護所有業務往來者之個人資料保護並遵守隱私以及資訊安全有關之法規、制訂保護程序以杜絕打擊報復。</w:t>
      </w:r>
    </w:p>
    <w:p w14:paraId="3F09304C" w14:textId="77777777" w:rsidR="00076C77" w:rsidRDefault="00000000">
      <w:pPr>
        <w:numPr>
          <w:ilvl w:val="0"/>
          <w:numId w:val="2"/>
        </w:numPr>
        <w:spacing w:beforeLines="100" w:before="312" w:afterLines="50" w:after="156" w:line="360" w:lineRule="exact"/>
        <w:rPr>
          <w:rFonts w:ascii="PMingLiU" w:hAnsi="PMingLiU" w:cs="PMingLiU"/>
          <w:bCs/>
        </w:rPr>
      </w:pPr>
      <w:r>
        <w:rPr>
          <w:rFonts w:ascii="PMingLiU" w:hAnsi="PMingLiU" w:cs="PMingLiU" w:hint="eastAsia"/>
          <w:bCs/>
        </w:rPr>
        <w:t>本公司建立與本承諾書內容相關之管理體系，包含對於社會環境責任政策之承諾、確定管理職責並定期檢查、監控並理解適用之法令法律和客戶要求、制定風險評估和風險管理流程、制定改進目標並進行定期評估、訂定培訓計畫、制定與勞工之溝通程序。</w:t>
      </w:r>
    </w:p>
    <w:p w14:paraId="5E8E9DB6" w14:textId="7689E9CC" w:rsidR="00076C77" w:rsidRDefault="00000000">
      <w:pPr>
        <w:numPr>
          <w:ilvl w:val="0"/>
          <w:numId w:val="2"/>
        </w:numPr>
        <w:tabs>
          <w:tab w:val="clear" w:pos="425"/>
          <w:tab w:val="left" w:pos="240"/>
        </w:tabs>
        <w:spacing w:beforeLines="100" w:before="312" w:afterLines="50" w:after="156" w:line="360" w:lineRule="exact"/>
        <w:ind w:left="240" w:hanging="240"/>
        <w:rPr>
          <w:rFonts w:ascii="PMingLiU" w:hAnsi="PMingLiU" w:cs="PMingLiU"/>
          <w:bCs/>
        </w:rPr>
      </w:pPr>
      <w:r>
        <w:rPr>
          <w:rFonts w:ascii="PMingLiU" w:hAnsi="PMingLiU" w:cs="PMingLiU" w:hint="eastAsia"/>
          <w:bCs/>
        </w:rPr>
        <w:t>除上述第一條第1~5點之外，本公司已知悉並了解</w:t>
      </w:r>
      <w:r w:rsidR="000C7ABD" w:rsidRPr="000C7ABD">
        <w:rPr>
          <w:rFonts w:ascii="PMingLiU" w:hAnsi="PMingLiU" w:cs="PMingLiU"/>
          <w:color w:val="000000"/>
          <w:spacing w:val="-3"/>
        </w:rPr>
        <w:t>上海标竿</w:t>
      </w:r>
      <w:r>
        <w:rPr>
          <w:rFonts w:ascii="PMingLiU" w:hAnsi="PMingLiU" w:cs="PMingLiU" w:hint="eastAsia"/>
          <w:bCs/>
        </w:rPr>
        <w:t>所依循之規定如下(以下統稱社會責任準則)，並本公司承諾持續改善以遵守該等規定及要求並承擔違反責任：</w:t>
      </w:r>
      <w:r>
        <w:rPr>
          <w:rFonts w:ascii="PMingLiU" w:hAnsi="PMingLiU" w:cs="PMingLiU" w:hint="eastAsia"/>
          <w:bCs/>
        </w:rPr>
        <w:br/>
        <w:t xml:space="preserve">6.1. EICC 電子行業行為準則，網址: </w:t>
      </w:r>
      <w:hyperlink r:id="rId7" w:history="1">
        <w:r w:rsidR="00076C77">
          <w:rPr>
            <w:rStyle w:val="a3"/>
            <w:rFonts w:ascii="PMingLiU" w:hAnsi="PMingLiU" w:cs="PMingLiU" w:hint="eastAsia"/>
            <w:bCs/>
          </w:rPr>
          <w:t>http://www.eicc.info/code.html</w:t>
        </w:r>
        <w:r w:rsidR="00076C77">
          <w:rPr>
            <w:rStyle w:val="a3"/>
            <w:rFonts w:ascii="PMingLiU" w:hAnsi="PMingLiU" w:cs="PMingLiU" w:hint="eastAsia"/>
            <w:bCs/>
          </w:rPr>
          <w:br/>
        </w:r>
      </w:hyperlink>
      <w:r>
        <w:rPr>
          <w:rFonts w:ascii="PMingLiU" w:hAnsi="PMingLiU" w:cs="PMingLiU" w:hint="eastAsia"/>
          <w:bCs/>
        </w:rPr>
        <w:t>6.2. SA8000 社會責任體系、ISO14001 環境管理體系、OHSAS18001 職業健康安全管理體系、國際勞工組織(ILO)之職業安全與健康指南、EMAS 生態管理與審核體系</w:t>
      </w:r>
      <w:r>
        <w:rPr>
          <w:rFonts w:ascii="PMingLiU" w:hAnsi="PMingLiU" w:cs="PMingLiU" w:hint="eastAsia"/>
          <w:bCs/>
        </w:rPr>
        <w:br/>
        <w:t>6.3. Ethical Trading Initiative</w:t>
      </w:r>
      <w:r>
        <w:rPr>
          <w:rFonts w:ascii="PMingLiU" w:hAnsi="PMingLiU" w:cs="PMingLiU" w:hint="eastAsia"/>
          <w:bCs/>
        </w:rPr>
        <w:br/>
        <w:t>6.4. 當地之法律、法令</w:t>
      </w:r>
      <w:r>
        <w:rPr>
          <w:rFonts w:ascii="PMingLiU" w:hAnsi="PMingLiU" w:cs="PMingLiU" w:hint="eastAsia"/>
          <w:bCs/>
        </w:rPr>
        <w:br/>
        <w:t xml:space="preserve">6.5. </w:t>
      </w:r>
      <w:r w:rsidR="000C7ABD">
        <w:rPr>
          <w:rFonts w:ascii="PMingLiU" w:hAnsi="PMingLiU" w:cs="PMingLiU" w:hint="eastAsia"/>
          <w:bCs/>
          <w:lang w:eastAsia="zh-CN"/>
        </w:rPr>
        <w:t>上海标竿</w:t>
      </w:r>
      <w:r>
        <w:rPr>
          <w:rFonts w:ascii="PMingLiU" w:hAnsi="PMingLiU" w:cs="PMingLiU" w:hint="eastAsia"/>
          <w:bCs/>
        </w:rPr>
        <w:t>之客戶(包括終端客戶)之社會責任要求(若有較上述6.1-6.4 要求嚴格者，以該較嚴格要求為準)。</w:t>
      </w:r>
    </w:p>
    <w:p w14:paraId="2045419C" w14:textId="77777777" w:rsidR="00076C77" w:rsidRDefault="00000000">
      <w:pPr>
        <w:numPr>
          <w:ilvl w:val="0"/>
          <w:numId w:val="1"/>
        </w:numPr>
        <w:spacing w:beforeLines="100" w:before="312" w:afterLines="50" w:after="156" w:line="360" w:lineRule="exact"/>
        <w:ind w:left="240" w:hangingChars="100" w:hanging="240"/>
        <w:rPr>
          <w:rFonts w:ascii="PMingLiU" w:hAnsi="PMingLiU" w:cs="PMingLiU"/>
          <w:b/>
        </w:rPr>
      </w:pPr>
      <w:r>
        <w:rPr>
          <w:rFonts w:ascii="PMingLiU" w:hAnsi="PMingLiU" w:cs="PMingLiU" w:hint="eastAsia"/>
          <w:b/>
        </w:rPr>
        <w:lastRenderedPageBreak/>
        <w:t>不使用衝突礦產承諾</w:t>
      </w:r>
    </w:p>
    <w:p w14:paraId="1BF2C621" w14:textId="16E98A07" w:rsidR="00076C77" w:rsidRDefault="00000000">
      <w:pPr>
        <w:numPr>
          <w:ilvl w:val="0"/>
          <w:numId w:val="3"/>
        </w:numPr>
        <w:tabs>
          <w:tab w:val="clear" w:pos="425"/>
          <w:tab w:val="left" w:pos="240"/>
        </w:tabs>
        <w:spacing w:beforeLines="100" w:before="312" w:afterLines="50" w:after="156" w:line="360" w:lineRule="exact"/>
        <w:ind w:left="240" w:hanging="240"/>
        <w:rPr>
          <w:rFonts w:ascii="PMingLiU" w:hAnsi="PMingLiU" w:cs="PMingLiU"/>
          <w:bCs/>
        </w:rPr>
      </w:pPr>
      <w:r>
        <w:rPr>
          <w:rFonts w:ascii="PMingLiU" w:hAnsi="PMingLiU" w:cs="PMingLiU" w:hint="eastAsia"/>
          <w:bCs/>
        </w:rPr>
        <w:t>本公司提供給</w:t>
      </w:r>
      <w:r w:rsidR="000C7ABD">
        <w:rPr>
          <w:rFonts w:ascii="PMingLiU" w:hAnsi="PMingLiU" w:cs="PMingLiU" w:hint="eastAsia"/>
          <w:bCs/>
          <w:lang w:eastAsia="zh-CN"/>
        </w:rPr>
        <w:t>上海标竿</w:t>
      </w:r>
      <w:r>
        <w:rPr>
          <w:rFonts w:ascii="PMingLiU" w:hAnsi="PMingLiU" w:cs="PMingLiU" w:hint="eastAsia"/>
          <w:bCs/>
        </w:rPr>
        <w:t>之原材料、零部件、元件和產品（下稱「物料」）不使用來自剛果民主共和國及其周邊國家/地區內衝突區域及為其他嚴重踩踏人權的武裝組織或實體提供資金或使其受益之衝突礦產。</w:t>
      </w:r>
    </w:p>
    <w:p w14:paraId="4BA7AC44" w14:textId="39D1B2B2" w:rsidR="00076C77" w:rsidRDefault="00000000">
      <w:pPr>
        <w:numPr>
          <w:ilvl w:val="0"/>
          <w:numId w:val="3"/>
        </w:numPr>
        <w:tabs>
          <w:tab w:val="clear" w:pos="425"/>
          <w:tab w:val="left" w:pos="240"/>
        </w:tabs>
        <w:spacing w:beforeLines="100" w:before="312" w:afterLines="50" w:after="156" w:line="360" w:lineRule="exact"/>
        <w:ind w:left="240" w:hanging="240"/>
        <w:rPr>
          <w:rFonts w:ascii="PMingLiU" w:hAnsi="PMingLiU" w:cs="PMingLiU"/>
          <w:bCs/>
        </w:rPr>
      </w:pPr>
      <w:r>
        <w:rPr>
          <w:rFonts w:ascii="PMingLiU" w:hAnsi="PMingLiU" w:cs="PMingLiU" w:hint="eastAsia"/>
          <w:bCs/>
        </w:rPr>
        <w:t>本公司將致力於詳實調查所有物料及物料供應鏈，確保金(Au)、鉭(Ta)、鎢(W)、鈷(Co)、錫(Sn) 此類金屬及其衍生物非從高風險區域或高風險實體開採或取得，亦非由衝突區域之礦區開採或循非法走私途徑取得，且在</w:t>
      </w:r>
      <w:r w:rsidR="000C7ABD" w:rsidRPr="000C7ABD">
        <w:rPr>
          <w:rFonts w:ascii="PMingLiU" w:hAnsi="PMingLiU" w:cs="PMingLiU"/>
          <w:color w:val="000000"/>
          <w:spacing w:val="-3"/>
        </w:rPr>
        <w:t>上海标竿</w:t>
      </w:r>
      <w:r>
        <w:rPr>
          <w:rFonts w:ascii="PMingLiU" w:hAnsi="PMingLiU" w:cs="PMingLiU" w:hint="eastAsia"/>
          <w:bCs/>
        </w:rPr>
        <w:t>要求時應提供並說明其查驗的具體措施。</w:t>
      </w:r>
    </w:p>
    <w:p w14:paraId="7A888318" w14:textId="3E7196B9" w:rsidR="00076C77" w:rsidRDefault="00000000">
      <w:pPr>
        <w:numPr>
          <w:ilvl w:val="0"/>
          <w:numId w:val="3"/>
        </w:numPr>
        <w:tabs>
          <w:tab w:val="clear" w:pos="425"/>
          <w:tab w:val="left" w:pos="240"/>
        </w:tabs>
        <w:spacing w:beforeLines="100" w:before="312" w:afterLines="50" w:after="156" w:line="360" w:lineRule="exact"/>
        <w:ind w:left="240" w:hanging="240"/>
        <w:rPr>
          <w:rFonts w:ascii="PMingLiU" w:hAnsi="PMingLiU" w:cs="PMingLiU"/>
          <w:bCs/>
        </w:rPr>
      </w:pPr>
      <w:r>
        <w:rPr>
          <w:rFonts w:ascii="PMingLiU" w:hAnsi="PMingLiU" w:cs="PMingLiU" w:hint="eastAsia"/>
          <w:bCs/>
        </w:rPr>
        <w:t>本公司詳實填寫</w:t>
      </w:r>
      <w:r w:rsidR="000C7ABD" w:rsidRPr="000C7ABD">
        <w:rPr>
          <w:rFonts w:ascii="PMingLiU" w:hAnsi="PMingLiU" w:cs="PMingLiU"/>
          <w:color w:val="000000"/>
          <w:spacing w:val="-3"/>
        </w:rPr>
        <w:t>上海标竿</w:t>
      </w:r>
      <w:r>
        <w:rPr>
          <w:rFonts w:ascii="PMingLiU" w:hAnsi="PMingLiU" w:cs="PMingLiU" w:hint="eastAsia"/>
          <w:bCs/>
        </w:rPr>
        <w:t>所提供之衝突礦產調查表，如有任何變動應主動告知。</w:t>
      </w:r>
    </w:p>
    <w:p w14:paraId="621A1A1D" w14:textId="597A4187" w:rsidR="00076C77" w:rsidRDefault="00000000">
      <w:pPr>
        <w:numPr>
          <w:ilvl w:val="0"/>
          <w:numId w:val="3"/>
        </w:numPr>
        <w:tabs>
          <w:tab w:val="clear" w:pos="425"/>
          <w:tab w:val="left" w:pos="240"/>
        </w:tabs>
        <w:spacing w:beforeLines="100" w:before="312" w:afterLines="50" w:after="156" w:line="360" w:lineRule="exact"/>
        <w:ind w:left="240" w:hanging="240"/>
        <w:rPr>
          <w:rFonts w:ascii="PMingLiU"/>
          <w:color w:val="0000FF"/>
          <w:u w:val="single" w:color="0000FF"/>
        </w:rPr>
      </w:pPr>
      <w:r>
        <w:rPr>
          <w:rFonts w:ascii="PMingLiU" w:hAnsi="PMingLiU" w:cs="PMingLiU" w:hint="eastAsia"/>
          <w:bCs/>
        </w:rPr>
        <w:t>本公司任何提供予</w:t>
      </w:r>
      <w:r w:rsidR="000C7ABD" w:rsidRPr="000C7ABD">
        <w:rPr>
          <w:rFonts w:ascii="PMingLiU" w:hAnsi="PMingLiU" w:cs="PMingLiU"/>
          <w:color w:val="000000"/>
          <w:spacing w:val="-3"/>
        </w:rPr>
        <w:t>上海标竿</w:t>
      </w:r>
      <w:r>
        <w:rPr>
          <w:rFonts w:ascii="PMingLiU" w:hAnsi="PMingLiU" w:cs="PMingLiU" w:hint="eastAsia"/>
          <w:bCs/>
        </w:rPr>
        <w:t>之物料所含金屬皆符合無衝突規範（DRC Conflict-Free）。</w:t>
      </w:r>
    </w:p>
    <w:p w14:paraId="1E68C80B" w14:textId="61D454E2" w:rsidR="00076C77" w:rsidRDefault="00000000">
      <w:pPr>
        <w:numPr>
          <w:ilvl w:val="0"/>
          <w:numId w:val="3"/>
        </w:numPr>
        <w:tabs>
          <w:tab w:val="clear" w:pos="425"/>
          <w:tab w:val="left" w:pos="240"/>
        </w:tabs>
        <w:spacing w:beforeLines="100" w:before="312" w:afterLines="50" w:after="156" w:line="360" w:lineRule="exact"/>
        <w:ind w:left="240" w:hanging="240"/>
        <w:rPr>
          <w:rFonts w:ascii="PMingLiU"/>
          <w:color w:val="0000FF"/>
          <w:u w:val="single" w:color="0000FF"/>
        </w:rPr>
      </w:pPr>
      <w:r>
        <w:rPr>
          <w:rFonts w:ascii="PMingLiU" w:hAnsi="PMingLiU" w:cs="PMingLiU" w:hint="eastAsia"/>
          <w:bCs/>
        </w:rPr>
        <w:t>本公司將致力於100%採用責任礦產倡議組織(RMI)制訂的標準化報告模板(CMRT)進行物料供應商3TG盡職調查，亦推進所申報的冶煉廠100%通過RMI或其他相關國際組織的認證，確保符合</w:t>
      </w:r>
      <w:r w:rsidR="000C7ABD" w:rsidRPr="000C7ABD">
        <w:rPr>
          <w:rFonts w:ascii="PMingLiU" w:hAnsi="PMingLiU" w:cs="PMingLiU"/>
          <w:color w:val="000000"/>
          <w:spacing w:val="-3"/>
        </w:rPr>
        <w:t>上海标竿</w:t>
      </w:r>
      <w:r>
        <w:rPr>
          <w:rFonts w:ascii="PMingLiU" w:hAnsi="PMingLiU" w:cs="PMingLiU" w:hint="eastAsia"/>
          <w:bCs/>
        </w:rPr>
        <w:t>供應鏈中100%無衝突礦產的社會責任要求。</w:t>
      </w:r>
    </w:p>
    <w:p w14:paraId="34CF0AFD" w14:textId="710C8C85" w:rsidR="00076C77" w:rsidRDefault="00000000">
      <w:pPr>
        <w:numPr>
          <w:ilvl w:val="0"/>
          <w:numId w:val="3"/>
        </w:numPr>
        <w:tabs>
          <w:tab w:val="clear" w:pos="425"/>
          <w:tab w:val="left" w:pos="240"/>
        </w:tabs>
        <w:spacing w:beforeLines="100" w:before="312" w:afterLines="50" w:after="156" w:line="360" w:lineRule="exact"/>
        <w:ind w:left="240" w:hanging="240"/>
        <w:rPr>
          <w:rFonts w:ascii="PMingLiU" w:hAnsi="PMingLiU" w:cs="PMingLiU"/>
          <w:color w:val="000000" w:themeColor="text1"/>
        </w:rPr>
      </w:pPr>
      <w:r>
        <w:rPr>
          <w:rFonts w:ascii="PMingLiU" w:hAnsi="PMingLiU" w:cs="PMingLiU" w:hint="eastAsia"/>
          <w:bCs/>
        </w:rPr>
        <w:t>除上述第二條第1~5點.之外，本公司已知悉並了解</w:t>
      </w:r>
      <w:r w:rsidR="000C7ABD" w:rsidRPr="000C7ABD">
        <w:rPr>
          <w:rFonts w:ascii="PMingLiU" w:hAnsi="PMingLiU" w:cs="PMingLiU"/>
          <w:color w:val="000000"/>
          <w:spacing w:val="-3"/>
        </w:rPr>
        <w:t>上海标竿</w:t>
      </w:r>
      <w:r>
        <w:rPr>
          <w:rFonts w:ascii="PMingLiU" w:hAnsi="PMingLiU" w:cs="PMingLiU" w:hint="eastAsia"/>
          <w:bCs/>
        </w:rPr>
        <w:t>所依循之規定如下，並承諾遵守該等規定並承擔違反責任：</w:t>
      </w:r>
      <w:r>
        <w:rPr>
          <w:rFonts w:ascii="PMingLiU" w:hAnsi="PMingLiU" w:cs="PMingLiU" w:hint="eastAsia"/>
          <w:bCs/>
        </w:rPr>
        <w:br/>
        <w:t>6.1. RBA責任商業聯盟(原EICC 電子行業行為準則)，網址</w:t>
      </w:r>
      <w:r>
        <w:rPr>
          <w:rFonts w:ascii="PMingLiU" w:hAnsi="PMingLiU" w:cs="PMingLiU" w:hint="eastAsia"/>
          <w:bCs/>
        </w:rPr>
        <w:br/>
        <w:t>:</w:t>
      </w:r>
      <w:hyperlink r:id="rId8" w:history="1">
        <w:r w:rsidR="00076C77">
          <w:rPr>
            <w:rFonts w:ascii="PMingLiU" w:hAnsi="PMingLiU" w:cs="PMingLiU" w:hint="eastAsia"/>
            <w:color w:val="0000FF"/>
            <w:u w:val="single"/>
          </w:rPr>
          <w:t>http://www.</w:t>
        </w:r>
      </w:hyperlink>
      <w:r>
        <w:rPr>
          <w:rFonts w:ascii="PMingLiU" w:hAnsi="PMingLiU" w:cs="PMingLiU" w:hint="eastAsia"/>
          <w:color w:val="0000FF"/>
          <w:u w:val="single"/>
        </w:rPr>
        <w:t>responsible-business.org/</w:t>
      </w:r>
      <w:r>
        <w:rPr>
          <w:rFonts w:ascii="PMingLiU" w:hAnsi="PMingLiU" w:cs="PMingLiU" w:hint="eastAsia"/>
          <w:color w:val="0000FF"/>
          <w:u w:val="single"/>
        </w:rPr>
        <w:br/>
      </w:r>
      <w:r>
        <w:rPr>
          <w:rFonts w:ascii="PMingLiU" w:hAnsi="PMingLiU" w:cs="PMingLiU" w:hint="eastAsia"/>
          <w:bCs/>
        </w:rPr>
        <w:t>6.2. Dodd-Frank 華爾街改革和消費者保護法案，網址:</w:t>
      </w:r>
      <w:r>
        <w:rPr>
          <w:rFonts w:ascii="PMingLiU" w:hAnsi="PMingLiU" w:cs="PMingLiU" w:hint="eastAsia"/>
          <w:bCs/>
        </w:rPr>
        <w:br/>
      </w:r>
      <w:hyperlink r:id="rId9" w:history="1">
        <w:r w:rsidR="00076C77">
          <w:rPr>
            <w:rFonts w:ascii="PMingLiU" w:hAnsi="PMingLiU" w:cs="PMingLiU" w:hint="eastAsia"/>
            <w:color w:val="0000FF"/>
            <w:u w:val="single" w:color="0000FF"/>
          </w:rPr>
          <w:t>http://www.sec.gov/about/laws/wallstreetreform-cpa.pdf</w:t>
        </w:r>
      </w:hyperlink>
      <w:r>
        <w:rPr>
          <w:rFonts w:ascii="PMingLiU" w:hAnsi="PMingLiU" w:cs="PMingLiU" w:hint="eastAsia"/>
          <w:color w:val="0000FF"/>
          <w:u w:val="single" w:color="0000FF"/>
        </w:rPr>
        <w:br/>
      </w:r>
      <w:r>
        <w:rPr>
          <w:rFonts w:ascii="PMingLiU" w:hAnsi="PMingLiU" w:cs="PMingLiU" w:hint="eastAsia"/>
          <w:color w:val="000000" w:themeColor="text1"/>
        </w:rPr>
        <w:t>6.3. 責任礦產計畫(RMI)</w:t>
      </w:r>
      <w:r>
        <w:rPr>
          <w:rFonts w:ascii="PMingLiU" w:hAnsi="PMingLiU" w:cs="PMingLiU" w:hint="eastAsia"/>
          <w:color w:val="404040" w:themeColor="text1" w:themeTint="BF"/>
        </w:rPr>
        <w:t xml:space="preserve">(原Conflict-Free Sourcing Initiative(CFSI)) </w:t>
      </w:r>
      <w:r>
        <w:rPr>
          <w:rFonts w:ascii="PMingLiU" w:hAnsi="PMingLiU" w:cs="PMingLiU" w:hint="eastAsia"/>
          <w:color w:val="000000" w:themeColor="text1"/>
        </w:rPr>
        <w:t>，網址:</w:t>
      </w:r>
      <w:r>
        <w:rPr>
          <w:rFonts w:ascii="PMingLiU" w:hAnsi="PMingLiU" w:cs="PMingLiU" w:hint="eastAsia"/>
          <w:color w:val="000000" w:themeColor="text1"/>
        </w:rPr>
        <w:br/>
      </w:r>
      <w:hyperlink r:id="rId10" w:history="1">
        <w:r w:rsidR="00076C77">
          <w:rPr>
            <w:rFonts w:ascii="PMingLiU" w:hAnsi="PMingLiU" w:cs="PMingLiU" w:hint="eastAsia"/>
            <w:color w:val="0000FF"/>
            <w:u w:val="single"/>
          </w:rPr>
          <w:t>http://www.</w:t>
        </w:r>
      </w:hyperlink>
      <w:r>
        <w:rPr>
          <w:rFonts w:ascii="PMingLiU" w:hAnsi="PMingLiU" w:cs="PMingLiU" w:hint="eastAsia"/>
          <w:color w:val="0000FF"/>
          <w:u w:val="single"/>
        </w:rPr>
        <w:t>responsiblemineralsinitiative.org/</w:t>
      </w:r>
      <w:r>
        <w:rPr>
          <w:rFonts w:ascii="PMingLiU" w:hAnsi="PMingLiU" w:cs="PMingLiU" w:hint="eastAsia"/>
          <w:color w:val="0000FF"/>
          <w:u w:val="single"/>
        </w:rPr>
        <w:br/>
      </w:r>
      <w:r>
        <w:rPr>
          <w:rFonts w:ascii="PMingLiU" w:hAnsi="PMingLiU" w:cs="PMingLiU" w:hint="eastAsia"/>
          <w:color w:val="000000" w:themeColor="text1"/>
        </w:rPr>
        <w:t>6.4. OECD Due Diligence Guidance for Responsible Supply Chains of Minerals from Conflict-Affected and High-Risk Areas，網址:</w:t>
      </w:r>
      <w:r>
        <w:rPr>
          <w:rFonts w:ascii="PMingLiU" w:hAnsi="PMingLiU" w:cs="PMingLiU" w:hint="eastAsia"/>
          <w:color w:val="000000" w:themeColor="text1"/>
        </w:rPr>
        <w:br/>
      </w:r>
      <w:hyperlink r:id="rId11" w:history="1">
        <w:r w:rsidR="00076C77">
          <w:rPr>
            <w:rStyle w:val="a3"/>
            <w:rFonts w:ascii="PMingLiU" w:hAnsi="PMingLiU" w:cs="PMingLiU" w:hint="eastAsia"/>
          </w:rPr>
          <w:t>http://www.oecd.org/daf/inv/mne/mining.htm</w:t>
        </w:r>
        <w:r w:rsidR="00076C77">
          <w:rPr>
            <w:rStyle w:val="a3"/>
            <w:rFonts w:ascii="PMingLiU" w:hAnsi="PMingLiU" w:cs="PMingLiU" w:hint="eastAsia"/>
          </w:rPr>
          <w:br/>
        </w:r>
      </w:hyperlink>
      <w:r>
        <w:rPr>
          <w:rFonts w:ascii="PMingLiU" w:hAnsi="PMingLiU" w:cs="PMingLiU" w:hint="eastAsia"/>
          <w:color w:val="000000" w:themeColor="text1"/>
        </w:rPr>
        <w:t>6.5. 若</w:t>
      </w:r>
      <w:r w:rsidR="000C7ABD" w:rsidRPr="000C7ABD">
        <w:rPr>
          <w:rFonts w:ascii="PMingLiU" w:hAnsi="PMingLiU" w:cs="PMingLiU"/>
          <w:color w:val="000000"/>
          <w:spacing w:val="-3"/>
        </w:rPr>
        <w:t>上海标竿</w:t>
      </w:r>
      <w:r>
        <w:rPr>
          <w:rFonts w:ascii="PMingLiU" w:hAnsi="PMingLiU" w:cs="PMingLiU" w:hint="eastAsia"/>
          <w:color w:val="000000" w:themeColor="text1"/>
        </w:rPr>
        <w:t>之客戶或終端客戶對於不使用衝突礦產有較嚴格之要求者，本公司同意以該較嚴格要求為準。</w:t>
      </w:r>
    </w:p>
    <w:p w14:paraId="05E56035" w14:textId="77777777" w:rsidR="00076C77" w:rsidRDefault="00000000">
      <w:pPr>
        <w:numPr>
          <w:ilvl w:val="0"/>
          <w:numId w:val="1"/>
        </w:numPr>
        <w:spacing w:beforeLines="100" w:before="312" w:afterLines="50" w:after="156" w:line="360" w:lineRule="exact"/>
        <w:ind w:left="240" w:hangingChars="100" w:hanging="240"/>
        <w:rPr>
          <w:rFonts w:ascii="PMingLiU" w:hAnsi="PMingLiU" w:cs="PMingLiU"/>
          <w:b/>
        </w:rPr>
      </w:pPr>
      <w:r>
        <w:rPr>
          <w:rFonts w:ascii="PMingLiU" w:hAnsi="PMingLiU" w:cs="PMingLiU" w:hint="eastAsia"/>
          <w:b/>
        </w:rPr>
        <w:t>電子產品禁用物質保證</w:t>
      </w:r>
    </w:p>
    <w:p w14:paraId="4BA891FE" w14:textId="548FB741" w:rsidR="00076C77" w:rsidRDefault="00000000">
      <w:pPr>
        <w:numPr>
          <w:ilvl w:val="0"/>
          <w:numId w:val="4"/>
        </w:numPr>
        <w:tabs>
          <w:tab w:val="clear" w:pos="425"/>
          <w:tab w:val="left" w:pos="240"/>
        </w:tabs>
        <w:spacing w:beforeLines="100" w:before="312" w:afterLines="50" w:after="156" w:line="360" w:lineRule="exact"/>
        <w:ind w:left="240" w:hanging="240"/>
        <w:rPr>
          <w:rFonts w:ascii="PMingLiU" w:hAnsi="PMingLiU" w:cs="PMingLiU"/>
          <w:bCs/>
          <w:lang w:val="fr-FR"/>
        </w:rPr>
      </w:pPr>
      <w:r>
        <w:rPr>
          <w:rFonts w:ascii="PMingLiU" w:hAnsi="PMingLiU" w:cs="PMingLiU" w:hint="eastAsia"/>
          <w:bCs/>
        </w:rPr>
        <w:t>本公司提供給</w:t>
      </w:r>
      <w:r w:rsidR="000C7ABD" w:rsidRPr="000C7ABD">
        <w:rPr>
          <w:rFonts w:ascii="PMingLiU" w:hAnsi="PMingLiU" w:cs="PMingLiU"/>
          <w:color w:val="000000"/>
          <w:spacing w:val="-3"/>
        </w:rPr>
        <w:t>上海标竿</w:t>
      </w:r>
      <w:r>
        <w:rPr>
          <w:rFonts w:ascii="PMingLiU" w:hAnsi="PMingLiU" w:cs="PMingLiU" w:hint="eastAsia"/>
          <w:bCs/>
        </w:rPr>
        <w:t>之產品，包括但不限於零件或材料（以下簡稱供應產品）必須提出相關的驗證報告，並保證符合以下規範中之相關規定以及供應商所填寫之REACH-高度關注物質物質(SVHC)調查表：</w:t>
      </w:r>
      <w:r>
        <w:rPr>
          <w:rFonts w:ascii="PMingLiU" w:hAnsi="PMingLiU" w:cs="PMingLiU" w:hint="eastAsia"/>
          <w:bCs/>
        </w:rPr>
        <w:br/>
        <w:t>1.1. RoHS (Restriction of the use of certain hazardous substance in Electrical and Electronic Equipment) 2011/65/EU</w:t>
      </w:r>
      <w:r>
        <w:rPr>
          <w:rFonts w:ascii="PMingLiU" w:hAnsi="PMingLiU" w:cs="PMingLiU" w:hint="eastAsia"/>
          <w:bCs/>
        </w:rPr>
        <w:br/>
        <w:t>1.2. Packaging and packaging waste directive 94/62/EC</w:t>
      </w:r>
      <w:r>
        <w:rPr>
          <w:rFonts w:ascii="PMingLiU" w:hAnsi="PMingLiU" w:cs="PMingLiU" w:hint="eastAsia"/>
          <w:bCs/>
        </w:rPr>
        <w:br/>
        <w:t>1.3. Batteries and Accumulators and Waste Batteries and Accumulators Directive 2006/66/EC</w:t>
      </w:r>
      <w:r>
        <w:rPr>
          <w:rFonts w:ascii="PMingLiU" w:hAnsi="PMingLiU" w:cs="PMingLiU" w:hint="eastAsia"/>
          <w:bCs/>
        </w:rPr>
        <w:br/>
      </w:r>
      <w:r>
        <w:rPr>
          <w:rFonts w:ascii="PMingLiU" w:hAnsi="PMingLiU" w:cs="PMingLiU" w:hint="eastAsia"/>
          <w:bCs/>
        </w:rPr>
        <w:lastRenderedPageBreak/>
        <w:t xml:space="preserve">1.4. </w:t>
      </w:r>
      <w:r>
        <w:rPr>
          <w:rFonts w:ascii="PMingLiU" w:hAnsi="PMingLiU" w:cs="PMingLiU" w:hint="eastAsia"/>
          <w:bCs/>
          <w:lang w:val="fr-FR"/>
        </w:rPr>
        <w:t>EU PFOS(</w:t>
      </w:r>
      <w:proofErr w:type="spellStart"/>
      <w:r>
        <w:rPr>
          <w:rFonts w:ascii="PMingLiU" w:hAnsi="PMingLiU" w:cs="PMingLiU" w:hint="eastAsia"/>
          <w:bCs/>
          <w:lang w:val="fr-FR"/>
        </w:rPr>
        <w:t>Perfluorooctane</w:t>
      </w:r>
      <w:proofErr w:type="spellEnd"/>
      <w:r>
        <w:rPr>
          <w:rFonts w:ascii="PMingLiU" w:hAnsi="PMingLiU" w:cs="PMingLiU" w:hint="eastAsia"/>
          <w:bCs/>
          <w:lang w:val="fr-FR"/>
        </w:rPr>
        <w:t xml:space="preserve"> Sulfonates)Directive 2006/122/EC</w:t>
      </w:r>
      <w:r>
        <w:rPr>
          <w:rFonts w:ascii="PMingLiU" w:hAnsi="PMingLiU" w:cs="PMingLiU" w:hint="eastAsia"/>
          <w:bCs/>
          <w:lang w:val="fr-FR"/>
        </w:rPr>
        <w:br/>
      </w:r>
      <w:r>
        <w:rPr>
          <w:rFonts w:ascii="PMingLiU" w:hAnsi="PMingLiU" w:cs="PMingLiU" w:hint="eastAsia"/>
          <w:bCs/>
        </w:rPr>
        <w:t>1.5. DMF(</w:t>
      </w:r>
      <w:proofErr w:type="spellStart"/>
      <w:r>
        <w:rPr>
          <w:rFonts w:ascii="PMingLiU" w:hAnsi="PMingLiU" w:cs="PMingLiU" w:hint="eastAsia"/>
          <w:bCs/>
        </w:rPr>
        <w:t>dimethylfumarate</w:t>
      </w:r>
      <w:proofErr w:type="spellEnd"/>
      <w:r>
        <w:rPr>
          <w:rFonts w:ascii="PMingLiU" w:hAnsi="PMingLiU" w:cs="PMingLiU" w:hint="eastAsia"/>
          <w:bCs/>
        </w:rPr>
        <w:t>)</w:t>
      </w:r>
      <w:r>
        <w:rPr>
          <w:rFonts w:ascii="PMingLiU" w:hAnsi="PMingLiU" w:cs="PMingLiU" w:hint="eastAsia"/>
          <w:bCs/>
          <w:lang w:val="fr-FR"/>
        </w:rPr>
        <w:t>Directive 2009/251/EC</w:t>
      </w:r>
    </w:p>
    <w:p w14:paraId="1CF594B8" w14:textId="77777777" w:rsidR="00076C77" w:rsidRPr="000C7ABD" w:rsidRDefault="00000000">
      <w:pPr>
        <w:numPr>
          <w:ilvl w:val="0"/>
          <w:numId w:val="4"/>
        </w:numPr>
        <w:tabs>
          <w:tab w:val="clear" w:pos="425"/>
          <w:tab w:val="left" w:pos="240"/>
        </w:tabs>
        <w:spacing w:beforeLines="100" w:before="312" w:afterLines="50" w:after="156" w:line="360" w:lineRule="exact"/>
        <w:ind w:left="240" w:hanging="240"/>
        <w:rPr>
          <w:rFonts w:ascii="PMingLiU" w:hAnsi="PMingLiU" w:cs="PMingLiU"/>
          <w:bCs/>
          <w:lang w:val="fr-FR"/>
        </w:rPr>
      </w:pPr>
      <w:r>
        <w:rPr>
          <w:rFonts w:ascii="PMingLiU" w:hAnsi="PMingLiU" w:cs="PMingLiU" w:hint="eastAsia"/>
          <w:bCs/>
        </w:rPr>
        <w:t>前述之驗證報告</w:t>
      </w:r>
      <w:r w:rsidRPr="000C7ABD">
        <w:rPr>
          <w:rFonts w:ascii="PMingLiU" w:hAnsi="PMingLiU" w:cs="PMingLiU" w:hint="eastAsia"/>
          <w:bCs/>
          <w:lang w:val="fr-FR"/>
        </w:rPr>
        <w:t>，</w:t>
      </w:r>
      <w:r>
        <w:rPr>
          <w:rFonts w:ascii="PMingLiU" w:hAnsi="PMingLiU" w:cs="PMingLiU" w:hint="eastAsia"/>
          <w:bCs/>
        </w:rPr>
        <w:t>必須為合格之驗證機構所出具</w:t>
      </w:r>
      <w:r w:rsidRPr="000C7ABD">
        <w:rPr>
          <w:rFonts w:ascii="PMingLiU" w:hAnsi="PMingLiU" w:cs="PMingLiU" w:hint="eastAsia"/>
          <w:bCs/>
          <w:lang w:val="fr-FR"/>
        </w:rPr>
        <w:t>，</w:t>
      </w:r>
      <w:r>
        <w:rPr>
          <w:rFonts w:ascii="PMingLiU" w:hAnsi="PMingLiU" w:cs="PMingLiU" w:hint="eastAsia"/>
          <w:bCs/>
        </w:rPr>
        <w:t>真實且無虛偽不實。</w:t>
      </w:r>
    </w:p>
    <w:p w14:paraId="14570959" w14:textId="77777777" w:rsidR="00076C77" w:rsidRPr="000C7ABD" w:rsidRDefault="00000000">
      <w:pPr>
        <w:numPr>
          <w:ilvl w:val="0"/>
          <w:numId w:val="4"/>
        </w:numPr>
        <w:tabs>
          <w:tab w:val="clear" w:pos="425"/>
          <w:tab w:val="left" w:pos="240"/>
        </w:tabs>
        <w:spacing w:beforeLines="100" w:before="312" w:afterLines="50" w:after="156" w:line="360" w:lineRule="exact"/>
        <w:ind w:left="240" w:hanging="240"/>
        <w:rPr>
          <w:rFonts w:ascii="PMingLiU" w:hAnsi="PMingLiU" w:cs="PMingLiU"/>
          <w:bCs/>
          <w:lang w:val="fr-FR"/>
        </w:rPr>
      </w:pPr>
      <w:r>
        <w:rPr>
          <w:rFonts w:ascii="PMingLiU" w:hAnsi="PMingLiU" w:cs="PMingLiU" w:hint="eastAsia"/>
          <w:bCs/>
        </w:rPr>
        <w:t>如有未列在上述之環境保護相關物質之要求或環境保護標準</w:t>
      </w:r>
      <w:r w:rsidRPr="000C7ABD">
        <w:rPr>
          <w:rFonts w:ascii="PMingLiU" w:hAnsi="PMingLiU" w:cs="PMingLiU" w:hint="eastAsia"/>
          <w:bCs/>
          <w:lang w:val="fr-FR"/>
        </w:rPr>
        <w:t>，</w:t>
      </w:r>
      <w:r>
        <w:rPr>
          <w:rFonts w:ascii="PMingLiU" w:hAnsi="PMingLiU" w:cs="PMingLiU" w:hint="eastAsia"/>
          <w:bCs/>
        </w:rPr>
        <w:t>本公司承諾雙方將另行協議。</w:t>
      </w:r>
    </w:p>
    <w:p w14:paraId="6A0E5F24" w14:textId="77777777" w:rsidR="00076C77" w:rsidRPr="000C7ABD" w:rsidRDefault="00000000">
      <w:pPr>
        <w:numPr>
          <w:ilvl w:val="0"/>
          <w:numId w:val="4"/>
        </w:numPr>
        <w:tabs>
          <w:tab w:val="clear" w:pos="425"/>
          <w:tab w:val="left" w:pos="240"/>
        </w:tabs>
        <w:spacing w:beforeLines="100" w:before="312" w:afterLines="50" w:after="156" w:line="360" w:lineRule="exact"/>
        <w:ind w:left="240" w:hanging="240"/>
        <w:rPr>
          <w:rFonts w:ascii="PMingLiU" w:hAnsi="PMingLiU" w:cs="PMingLiU"/>
          <w:bCs/>
          <w:lang w:val="fr-FR"/>
        </w:rPr>
      </w:pPr>
      <w:r>
        <w:rPr>
          <w:rFonts w:ascii="PMingLiU" w:hAnsi="PMingLiU" w:cs="PMingLiU" w:hint="eastAsia"/>
          <w:bCs/>
        </w:rPr>
        <w:t>本保證書不因本公司組織變更、代表人變更、公司變更或供應產品產地不同等其他因素</w:t>
      </w:r>
      <w:r w:rsidRPr="000C7ABD">
        <w:rPr>
          <w:rFonts w:ascii="PMingLiU" w:hAnsi="PMingLiU" w:cs="PMingLiU" w:hint="eastAsia"/>
          <w:bCs/>
          <w:lang w:val="fr-FR"/>
        </w:rPr>
        <w:t>，</w:t>
      </w:r>
      <w:r>
        <w:rPr>
          <w:rFonts w:ascii="PMingLiU" w:hAnsi="PMingLiU" w:cs="PMingLiU" w:hint="eastAsia"/>
          <w:bCs/>
        </w:rPr>
        <w:t>而影響其法律效力。</w:t>
      </w:r>
    </w:p>
    <w:p w14:paraId="4464D0AE" w14:textId="437C611D" w:rsidR="00076C77" w:rsidRPr="000C7ABD" w:rsidRDefault="00000000">
      <w:pPr>
        <w:numPr>
          <w:ilvl w:val="0"/>
          <w:numId w:val="1"/>
        </w:numPr>
        <w:tabs>
          <w:tab w:val="clear" w:pos="312"/>
          <w:tab w:val="left" w:pos="480"/>
        </w:tabs>
        <w:spacing w:beforeLines="100" w:before="312" w:afterLines="50" w:after="156" w:line="360" w:lineRule="exact"/>
        <w:ind w:left="480" w:hangingChars="200" w:hanging="480"/>
        <w:jc w:val="both"/>
        <w:rPr>
          <w:rFonts w:ascii="PMingLiU" w:hAnsi="PMingLiU" w:cs="PMingLiU"/>
          <w:b/>
          <w:lang w:val="fr-FR"/>
        </w:rPr>
      </w:pPr>
      <w:r>
        <w:rPr>
          <w:rFonts w:ascii="PMingLiU" w:hAnsi="PMingLiU" w:cs="PMingLiU" w:hint="eastAsia"/>
          <w:b/>
        </w:rPr>
        <w:t>本公司知悉如有違反上述任一條款之情事</w:t>
      </w:r>
      <w:r w:rsidRPr="000C7ABD">
        <w:rPr>
          <w:rFonts w:ascii="PMingLiU" w:hAnsi="PMingLiU" w:cs="PMingLiU" w:hint="eastAsia"/>
          <w:b/>
          <w:lang w:val="fr-FR"/>
        </w:rPr>
        <w:t>，</w:t>
      </w:r>
      <w:r>
        <w:rPr>
          <w:rFonts w:ascii="PMingLiU" w:hAnsi="PMingLiU" w:cs="PMingLiU" w:hint="eastAsia"/>
          <w:b/>
        </w:rPr>
        <w:t>將導致</w:t>
      </w:r>
      <w:r w:rsidR="000C7ABD" w:rsidRPr="000C7ABD">
        <w:rPr>
          <w:rFonts w:ascii="PMingLiU" w:hAnsi="PMingLiU" w:cs="PMingLiU"/>
          <w:b/>
          <w:bCs/>
          <w:color w:val="000000"/>
          <w:spacing w:val="-3"/>
        </w:rPr>
        <w:t>上海标竿</w:t>
      </w:r>
      <w:r>
        <w:rPr>
          <w:rFonts w:ascii="PMingLiU" w:hAnsi="PMingLiU" w:cs="PMingLiU" w:hint="eastAsia"/>
          <w:b/>
        </w:rPr>
        <w:t>或其客戶受有無法彌補之損失</w:t>
      </w:r>
      <w:r w:rsidRPr="000C7ABD">
        <w:rPr>
          <w:rFonts w:ascii="PMingLiU" w:hAnsi="PMingLiU" w:cs="PMingLiU" w:hint="eastAsia"/>
          <w:b/>
          <w:lang w:val="fr-FR"/>
        </w:rPr>
        <w:t>，</w:t>
      </w:r>
      <w:r>
        <w:rPr>
          <w:rFonts w:ascii="PMingLiU" w:hAnsi="PMingLiU" w:cs="PMingLiU" w:hint="eastAsia"/>
          <w:b/>
        </w:rPr>
        <w:t>除應</w:t>
      </w:r>
      <w:r w:rsidR="000C7ABD" w:rsidRPr="000C7ABD">
        <w:rPr>
          <w:rFonts w:ascii="PMingLiU" w:hAnsi="PMingLiU" w:cs="PMingLiU"/>
          <w:b/>
          <w:bCs/>
          <w:color w:val="000000"/>
          <w:spacing w:val="-3"/>
        </w:rPr>
        <w:t>上海标竿</w:t>
      </w:r>
      <w:r>
        <w:rPr>
          <w:rFonts w:ascii="PMingLiU" w:hAnsi="PMingLiU" w:cs="PMingLiU" w:hint="eastAsia"/>
          <w:b/>
        </w:rPr>
        <w:t>之要求</w:t>
      </w:r>
      <w:r w:rsidRPr="000C7ABD">
        <w:rPr>
          <w:rFonts w:ascii="PMingLiU" w:hAnsi="PMingLiU" w:cs="PMingLiU" w:hint="eastAsia"/>
          <w:b/>
          <w:lang w:val="fr-FR"/>
        </w:rPr>
        <w:t>，</w:t>
      </w:r>
      <w:r>
        <w:rPr>
          <w:rFonts w:ascii="PMingLiU" w:hAnsi="PMingLiU" w:cs="PMingLiU" w:hint="eastAsia"/>
          <w:b/>
        </w:rPr>
        <w:t>自費重新作產品的驗證外</w:t>
      </w:r>
      <w:r w:rsidRPr="000C7ABD">
        <w:rPr>
          <w:rFonts w:ascii="PMingLiU" w:hAnsi="PMingLiU" w:cs="PMingLiU" w:hint="eastAsia"/>
          <w:b/>
          <w:lang w:val="fr-FR"/>
        </w:rPr>
        <w:t>，</w:t>
      </w:r>
      <w:r w:rsidR="000C7ABD" w:rsidRPr="000C7ABD">
        <w:rPr>
          <w:rFonts w:ascii="PMingLiU" w:hAnsi="PMingLiU" w:cs="PMingLiU"/>
          <w:b/>
          <w:bCs/>
          <w:color w:val="000000"/>
          <w:spacing w:val="-3"/>
        </w:rPr>
        <w:t>上海标竿</w:t>
      </w:r>
      <w:r>
        <w:rPr>
          <w:rFonts w:ascii="PMingLiU" w:hAnsi="PMingLiU" w:cs="PMingLiU" w:hint="eastAsia"/>
          <w:b/>
        </w:rPr>
        <w:t>有權自行決定撤銷或終止與本公司合作之約定而無須負擔責任</w:t>
      </w:r>
      <w:r w:rsidRPr="000C7ABD">
        <w:rPr>
          <w:rFonts w:ascii="PMingLiU" w:hAnsi="PMingLiU" w:cs="PMingLiU" w:hint="eastAsia"/>
          <w:b/>
          <w:lang w:val="fr-FR"/>
        </w:rPr>
        <w:t>；</w:t>
      </w:r>
      <w:r>
        <w:rPr>
          <w:rFonts w:ascii="PMingLiU" w:hAnsi="PMingLiU" w:cs="PMingLiU" w:hint="eastAsia"/>
          <w:b/>
        </w:rPr>
        <w:t>本公司並願對勁永集團以及其客戶所生之損失承擔賠償責任</w:t>
      </w:r>
      <w:r w:rsidRPr="000C7ABD">
        <w:rPr>
          <w:rFonts w:ascii="PMingLiU" w:hAnsi="PMingLiU" w:cs="PMingLiU" w:hint="eastAsia"/>
          <w:b/>
          <w:lang w:val="fr-FR"/>
        </w:rPr>
        <w:t>，</w:t>
      </w:r>
      <w:r>
        <w:rPr>
          <w:rFonts w:ascii="PMingLiU" w:hAnsi="PMingLiU" w:cs="PMingLiU" w:hint="eastAsia"/>
          <w:b/>
        </w:rPr>
        <w:t>包括但不限於訴訟費、律師費。</w:t>
      </w:r>
    </w:p>
    <w:p>
      <w:r>
        <w:rPr>
          <w:b/>
          <w:color w:val="C00000"/>
          <w:highlight w:val="yellow"/>
          <w:rFonts w:eastAsia="標楷體"/>
        </w:rPr>
        <w:t>【補充條款 1】</w:t>
      </w:r>
      <w:r>
        <w:rPr>
          <w:color w:val="C00000"/>
          <w:rFonts w:eastAsia="標楷體"/>
        </w:rPr>
        <w:t>(對應第三章第5條賠償責任)本公司依本準則所負之賠償責任,其對象以買方(上海标竿信息科技有限公司)及其直接客戶為限,且其賠償總額適用主約《供應商合約》第九條(含其補充條款)所定之責任上限。【格式提醒】原文所載「勁永集團」與本合約買方名稱不符,疑為誤植,建議雙方確認並更正。</w:t>
      </w:r>
    </w:p>
    <w:p w14:paraId="6AA66C90" w14:textId="77777777" w:rsidR="00076C77" w:rsidRPr="000C7ABD" w:rsidRDefault="00000000">
      <w:pPr>
        <w:numPr>
          <w:ilvl w:val="0"/>
          <w:numId w:val="1"/>
        </w:numPr>
        <w:tabs>
          <w:tab w:val="clear" w:pos="312"/>
          <w:tab w:val="left" w:pos="480"/>
        </w:tabs>
        <w:spacing w:beforeLines="100" w:before="312" w:afterLines="50" w:after="156" w:line="360" w:lineRule="exact"/>
        <w:ind w:left="480" w:hangingChars="200" w:hanging="480"/>
        <w:jc w:val="both"/>
        <w:rPr>
          <w:rFonts w:ascii="PMingLiU" w:hAnsi="PMingLiU" w:cs="PMingLiU"/>
          <w:b/>
          <w:lang w:val="fr-FR"/>
        </w:rPr>
      </w:pPr>
      <w:r>
        <w:rPr>
          <w:rFonts w:ascii="PMingLiU" w:hAnsi="PMingLiU" w:cs="PMingLiU" w:hint="eastAsia"/>
          <w:b/>
        </w:rPr>
        <w:t>本公司保證授權代表已獲本公司充分授權</w:t>
      </w:r>
      <w:r w:rsidRPr="000C7ABD">
        <w:rPr>
          <w:rFonts w:ascii="PMingLiU" w:hAnsi="PMingLiU" w:cs="PMingLiU" w:hint="eastAsia"/>
          <w:b/>
          <w:lang w:val="fr-FR"/>
        </w:rPr>
        <w:t>，</w:t>
      </w:r>
      <w:r>
        <w:rPr>
          <w:rFonts w:ascii="PMingLiU" w:hAnsi="PMingLiU" w:cs="PMingLiU" w:hint="eastAsia"/>
          <w:b/>
        </w:rPr>
        <w:t>代表本公司簽署本承諾書。</w:t>
      </w:r>
    </w:p>
    <w:p w14:paraId="0D9FC9D9" w14:textId="60BBBC7D" w:rsidR="00076C77" w:rsidRPr="000C7ABD" w:rsidRDefault="00000000">
      <w:pPr>
        <w:numPr>
          <w:ilvl w:val="0"/>
          <w:numId w:val="1"/>
        </w:numPr>
        <w:tabs>
          <w:tab w:val="clear" w:pos="312"/>
          <w:tab w:val="left" w:pos="480"/>
        </w:tabs>
        <w:spacing w:beforeLines="100" w:before="312" w:afterLines="50" w:after="156" w:line="360" w:lineRule="exact"/>
        <w:ind w:left="480" w:hangingChars="200" w:hanging="480"/>
        <w:jc w:val="both"/>
        <w:rPr>
          <w:rFonts w:ascii="PMingLiU" w:hAnsi="PMingLiU" w:cs="PMingLiU"/>
          <w:b/>
          <w:lang w:val="fr-FR"/>
        </w:rPr>
      </w:pPr>
      <w:r>
        <w:rPr>
          <w:rFonts w:ascii="PMingLiU" w:hAnsi="PMingLiU" w:cs="PMingLiU" w:hint="eastAsia"/>
          <w:b/>
        </w:rPr>
        <w:t>本承諾書自簽署或溯及自雙方交易開始時生效</w:t>
      </w:r>
      <w:r w:rsidRPr="000C7ABD">
        <w:rPr>
          <w:rFonts w:ascii="PMingLiU" w:hAnsi="PMingLiU" w:cs="PMingLiU" w:hint="eastAsia"/>
          <w:b/>
          <w:lang w:val="fr-FR"/>
        </w:rPr>
        <w:t>，</w:t>
      </w:r>
      <w:r>
        <w:rPr>
          <w:rFonts w:ascii="PMingLiU" w:hAnsi="PMingLiU" w:cs="PMingLiU" w:hint="eastAsia"/>
          <w:b/>
        </w:rPr>
        <w:t>非經</w:t>
      </w:r>
      <w:r w:rsidR="000C7ABD" w:rsidRPr="000C7ABD">
        <w:rPr>
          <w:rFonts w:ascii="PMingLiU" w:hAnsi="PMingLiU" w:cs="PMingLiU"/>
          <w:b/>
          <w:bCs/>
          <w:color w:val="000000"/>
          <w:spacing w:val="-3"/>
        </w:rPr>
        <w:t>上海标竿</w:t>
      </w:r>
      <w:r>
        <w:rPr>
          <w:rFonts w:ascii="PMingLiU" w:hAnsi="PMingLiU" w:cs="PMingLiU" w:hint="eastAsia"/>
          <w:b/>
        </w:rPr>
        <w:t>之事前書面同意</w:t>
      </w:r>
      <w:r w:rsidRPr="000C7ABD">
        <w:rPr>
          <w:rFonts w:ascii="PMingLiU" w:hAnsi="PMingLiU" w:cs="PMingLiU" w:hint="eastAsia"/>
          <w:b/>
          <w:lang w:val="fr-FR"/>
        </w:rPr>
        <w:t>，</w:t>
      </w:r>
      <w:r>
        <w:rPr>
          <w:rFonts w:ascii="PMingLiU" w:hAnsi="PMingLiU" w:cs="PMingLiU" w:hint="eastAsia"/>
          <w:b/>
        </w:rPr>
        <w:t>本承諾書不得終止、解除或變更。</w:t>
      </w:r>
    </w:p>
    <w:p>
      <w:r>
        <w:rPr>
          <w:b/>
          <w:color w:val="C00000"/>
          <w:highlight w:val="yellow"/>
          <w:rFonts w:eastAsia="標楷體"/>
        </w:rPr>
        <w:t>【補充條款 2】</w:t>
      </w:r>
      <w:r>
        <w:rPr>
          <w:color w:val="C00000"/>
          <w:rFonts w:eastAsia="標楷體"/>
        </w:rPr>
        <w:t>(對應第三章第7條承諾書效期)本承諾書之效期與主約《供應商合約》相同;主約終止或解除時,本承諾書同時終止,但終止前已發生之義務不受影響。</w:t>
      </w:r>
    </w:p>
    <w:p w14:paraId="5541E83F" w14:textId="77777777" w:rsidR="00076C77" w:rsidRPr="000C7ABD" w:rsidRDefault="00076C77">
      <w:pPr>
        <w:spacing w:beforeLines="100" w:before="312" w:afterLines="50" w:after="156" w:line="360" w:lineRule="exact"/>
        <w:rPr>
          <w:rFonts w:ascii="PMingLiU" w:hAnsi="PMingLiU" w:cs="PMingLiU"/>
          <w:bCs/>
          <w:lang w:val="fr-FR"/>
        </w:rPr>
      </w:pPr>
    </w:p>
    <w:p w14:paraId="5C778C21" w14:textId="77777777" w:rsidR="00076C77" w:rsidRPr="000C7ABD" w:rsidRDefault="00000000">
      <w:pPr>
        <w:spacing w:beforeLines="100" w:before="312" w:afterLines="50" w:after="156" w:line="360" w:lineRule="exact"/>
        <w:rPr>
          <w:rFonts w:ascii="PMingLiU" w:hAnsi="PMingLiU" w:cs="PMingLiU"/>
          <w:bCs/>
          <w:lang w:val="fr-FR"/>
        </w:rPr>
      </w:pPr>
      <w:r>
        <w:rPr>
          <w:rFonts w:ascii="PMingLiU" w:hAnsi="PMingLiU" w:cs="PMingLiU" w:hint="eastAsia"/>
          <w:bCs/>
        </w:rPr>
        <w:t>立承諾書人</w:t>
      </w:r>
    </w:p>
    <w:p w14:paraId="7147C69F" w14:textId="77777777" w:rsidR="00076C77" w:rsidRPr="000C7ABD" w:rsidRDefault="00000000">
      <w:pPr>
        <w:spacing w:line="360" w:lineRule="exact"/>
        <w:rPr>
          <w:rFonts w:ascii="PMingLiU" w:hAnsi="PMingLiU" w:cs="PMingLiU"/>
          <w:lang w:val="fr-FR"/>
        </w:rPr>
      </w:pPr>
      <w:r>
        <w:rPr>
          <w:rFonts w:ascii="PMingLiU" w:hAnsi="PMingLiU" w:cs="PMingLiU" w:hint="eastAsia"/>
        </w:rPr>
        <w:t>供應商</w:t>
      </w:r>
      <w:r w:rsidRPr="000C7ABD">
        <w:rPr>
          <w:rFonts w:ascii="PMingLiU" w:hAnsi="PMingLiU" w:cs="PMingLiU" w:hint="eastAsia"/>
          <w:lang w:val="fr-FR"/>
        </w:rPr>
        <w:t>：</w:t>
      </w:r>
      <w:r>
        <w:rPr>
          <w:rFonts w:ascii="PMingLiU" w:hAnsi="PMingLiU" w:cs="PMingLiU" w:hint="eastAsia"/>
        </w:rPr>
        <w:fldChar w:fldCharType="begin">
          <w:ffData>
            <w:name w:val="Text1"/>
            <w:enabled/>
            <w:calcOnExit w:val="0"/>
            <w:textInput/>
          </w:ffData>
        </w:fldChar>
      </w:r>
      <w:bookmarkStart w:id="0" w:name="Text1"/>
      <w:r w:rsidRPr="000C7ABD">
        <w:rPr>
          <w:rFonts w:ascii="PMingLiU" w:hAnsi="PMingLiU" w:cs="PMingLiU" w:hint="eastAsia"/>
          <w:lang w:val="fr-FR"/>
        </w:rPr>
        <w:instrText xml:space="preserve"> FORMTEXT </w:instrText>
      </w:r>
      <w:r>
        <w:rPr>
          <w:rFonts w:ascii="PMingLiU" w:hAnsi="PMingLiU" w:cs="PMingLiU" w:hint="eastAsia"/>
        </w:rPr>
      </w:r>
      <w:r>
        <w:rPr>
          <w:rFonts w:ascii="PMingLiU" w:hAnsi="PMingLiU" w:cs="PMingLiU" w:hint="eastAsia"/>
        </w:rPr>
        <w:fldChar w:fldCharType="separate"/>
      </w:r>
      <w:r w:rsidRPr="000C7ABD">
        <w:rPr>
          <w:rFonts w:ascii="PMingLiU" w:hAnsi="PMingLiU" w:cs="PMingLiU" w:hint="eastAsia"/>
          <w:lang w:val="fr-FR"/>
        </w:rPr>
        <w:t>     </w:t>
      </w:r>
      <w:r>
        <w:rPr>
          <w:rFonts w:ascii="PMingLiU" w:hAnsi="PMingLiU" w:cs="PMingLiU" w:hint="eastAsia"/>
        </w:rPr>
        <w:fldChar w:fldCharType="end"/>
      </w:r>
      <w:bookmarkEnd w:id="0"/>
      <w:r w:rsidRPr="000C7ABD">
        <w:rPr>
          <w:rFonts w:ascii="PMingLiU" w:hAnsi="PMingLiU" w:cs="PMingLiU" w:hint="eastAsia"/>
          <w:lang w:val="fr-FR"/>
        </w:rPr>
        <w:t xml:space="preserve">    </w:t>
      </w:r>
    </w:p>
    <w:p w14:paraId="699BAC88" w14:textId="77777777" w:rsidR="00076C77" w:rsidRPr="000C7ABD" w:rsidRDefault="00000000">
      <w:pPr>
        <w:spacing w:line="360" w:lineRule="exact"/>
        <w:rPr>
          <w:rFonts w:ascii="PMingLiU" w:hAnsi="PMingLiU" w:cs="PMingLiU"/>
          <w:lang w:val="fr-FR"/>
        </w:rPr>
      </w:pPr>
      <w:r>
        <w:rPr>
          <w:rFonts w:ascii="PMingLiU" w:hAnsi="PMingLiU" w:cs="PMingLiU" w:hint="eastAsia"/>
        </w:rPr>
        <w:t>代表人</w:t>
      </w:r>
      <w:r w:rsidRPr="000C7ABD">
        <w:rPr>
          <w:rFonts w:ascii="PMingLiU" w:hAnsi="PMingLiU" w:cs="PMingLiU" w:hint="eastAsia"/>
          <w:lang w:val="fr-FR"/>
        </w:rPr>
        <w:t>：</w:t>
      </w:r>
      <w:r>
        <w:rPr>
          <w:rFonts w:ascii="PMingLiU" w:hAnsi="PMingLiU" w:cs="PMingLiU" w:hint="eastAsia"/>
        </w:rPr>
        <w:fldChar w:fldCharType="begin">
          <w:ffData>
            <w:name w:val=""/>
            <w:enabled/>
            <w:calcOnExit w:val="0"/>
            <w:textInput/>
          </w:ffData>
        </w:fldChar>
      </w:r>
      <w:r w:rsidRPr="000C7ABD">
        <w:rPr>
          <w:rFonts w:ascii="PMingLiU" w:hAnsi="PMingLiU" w:cs="PMingLiU" w:hint="eastAsia"/>
          <w:lang w:val="fr-FR"/>
        </w:rPr>
        <w:instrText xml:space="preserve"> FORMTEXT </w:instrText>
      </w:r>
      <w:r>
        <w:rPr>
          <w:rFonts w:ascii="PMingLiU" w:hAnsi="PMingLiU" w:cs="PMingLiU" w:hint="eastAsia"/>
        </w:rPr>
      </w:r>
      <w:r>
        <w:rPr>
          <w:rFonts w:ascii="PMingLiU" w:hAnsi="PMingLiU" w:cs="PMingLiU" w:hint="eastAsia"/>
        </w:rPr>
        <w:fldChar w:fldCharType="separate"/>
      </w:r>
      <w:r w:rsidRPr="000C7ABD">
        <w:rPr>
          <w:rFonts w:ascii="PMingLiU" w:hAnsi="PMingLiU" w:cs="PMingLiU" w:hint="eastAsia"/>
          <w:lang w:val="fr-FR"/>
        </w:rPr>
        <w:t>     </w:t>
      </w:r>
      <w:r>
        <w:rPr>
          <w:rFonts w:ascii="PMingLiU" w:hAnsi="PMingLiU" w:cs="PMingLiU" w:hint="eastAsia"/>
        </w:rPr>
        <w:fldChar w:fldCharType="end"/>
      </w:r>
      <w:r w:rsidRPr="000C7ABD">
        <w:rPr>
          <w:rFonts w:ascii="PMingLiU" w:hAnsi="PMingLiU" w:cs="PMingLiU" w:hint="eastAsia"/>
          <w:lang w:val="fr-FR"/>
        </w:rPr>
        <w:t xml:space="preserve">                      </w:t>
      </w:r>
    </w:p>
    <w:p w14:paraId="1436D778" w14:textId="77777777" w:rsidR="00076C77" w:rsidRPr="000C7ABD" w:rsidRDefault="00000000">
      <w:pPr>
        <w:spacing w:line="360" w:lineRule="exact"/>
        <w:rPr>
          <w:rFonts w:ascii="PMingLiU" w:hAnsi="PMingLiU" w:cs="PMingLiU"/>
          <w:lang w:val="fr-FR"/>
        </w:rPr>
      </w:pPr>
      <w:r>
        <w:rPr>
          <w:rFonts w:ascii="PMingLiU" w:hAnsi="PMingLiU" w:cs="PMingLiU" w:hint="eastAsia"/>
        </w:rPr>
        <w:t>地</w:t>
      </w:r>
      <w:r w:rsidRPr="000C7ABD">
        <w:rPr>
          <w:rFonts w:ascii="PMingLiU" w:hAnsi="PMingLiU" w:cs="PMingLiU" w:hint="eastAsia"/>
          <w:lang w:val="fr-FR"/>
        </w:rPr>
        <w:t xml:space="preserve">  </w:t>
      </w:r>
      <w:r>
        <w:rPr>
          <w:rFonts w:ascii="PMingLiU" w:hAnsi="PMingLiU" w:cs="PMingLiU" w:hint="eastAsia"/>
        </w:rPr>
        <w:t>址</w:t>
      </w:r>
      <w:r w:rsidRPr="000C7ABD">
        <w:rPr>
          <w:rFonts w:ascii="PMingLiU" w:hAnsi="PMingLiU" w:cs="PMingLiU" w:hint="eastAsia"/>
          <w:lang w:val="fr-FR"/>
        </w:rPr>
        <w:t>：</w:t>
      </w:r>
      <w:r>
        <w:rPr>
          <w:rFonts w:ascii="PMingLiU" w:hAnsi="PMingLiU" w:cs="PMingLiU" w:hint="eastAsia"/>
        </w:rPr>
        <w:fldChar w:fldCharType="begin">
          <w:ffData>
            <w:name w:val=""/>
            <w:enabled/>
            <w:calcOnExit w:val="0"/>
            <w:textInput/>
          </w:ffData>
        </w:fldChar>
      </w:r>
      <w:r w:rsidRPr="000C7ABD">
        <w:rPr>
          <w:rFonts w:ascii="PMingLiU" w:hAnsi="PMingLiU" w:cs="PMingLiU" w:hint="eastAsia"/>
          <w:lang w:val="fr-FR"/>
        </w:rPr>
        <w:instrText xml:space="preserve"> FORMTEXT </w:instrText>
      </w:r>
      <w:r>
        <w:rPr>
          <w:rFonts w:ascii="PMingLiU" w:hAnsi="PMingLiU" w:cs="PMingLiU" w:hint="eastAsia"/>
        </w:rPr>
      </w:r>
      <w:r>
        <w:rPr>
          <w:rFonts w:ascii="PMingLiU" w:hAnsi="PMingLiU" w:cs="PMingLiU" w:hint="eastAsia"/>
        </w:rPr>
        <w:fldChar w:fldCharType="separate"/>
      </w:r>
      <w:r w:rsidRPr="000C7ABD">
        <w:rPr>
          <w:rFonts w:ascii="PMingLiU" w:hAnsi="PMingLiU" w:cs="PMingLiU" w:hint="eastAsia"/>
          <w:lang w:val="fr-FR"/>
        </w:rPr>
        <w:t>     </w:t>
      </w:r>
      <w:r>
        <w:rPr>
          <w:rFonts w:ascii="PMingLiU" w:hAnsi="PMingLiU" w:cs="PMingLiU" w:hint="eastAsia"/>
        </w:rPr>
        <w:fldChar w:fldCharType="end"/>
      </w:r>
      <w:r w:rsidRPr="000C7ABD">
        <w:rPr>
          <w:rFonts w:ascii="PMingLiU" w:hAnsi="PMingLiU" w:cs="PMingLiU" w:hint="eastAsia"/>
          <w:lang w:val="fr-FR"/>
        </w:rPr>
        <w:t xml:space="preserve">                                </w:t>
      </w:r>
    </w:p>
    <w:p w14:paraId="16F4C5F4" w14:textId="77777777" w:rsidR="00076C77" w:rsidRPr="000C7ABD" w:rsidRDefault="00000000">
      <w:pPr>
        <w:spacing w:line="360" w:lineRule="exact"/>
        <w:rPr>
          <w:rFonts w:ascii="PMingLiU" w:hAnsi="PMingLiU" w:cs="PMingLiU"/>
          <w:lang w:val="fr-FR"/>
        </w:rPr>
      </w:pPr>
      <w:r>
        <w:rPr>
          <w:rFonts w:ascii="PMingLiU" w:hAnsi="PMingLiU" w:cs="PMingLiU" w:hint="eastAsia"/>
        </w:rPr>
        <w:t>簽</w:t>
      </w:r>
      <w:r w:rsidRPr="000C7ABD">
        <w:rPr>
          <w:rFonts w:ascii="PMingLiU" w:hAnsi="PMingLiU" w:cs="PMingLiU" w:hint="eastAsia"/>
          <w:lang w:val="fr-FR"/>
        </w:rPr>
        <w:t xml:space="preserve">  </w:t>
      </w:r>
      <w:r>
        <w:rPr>
          <w:rFonts w:ascii="PMingLiU" w:hAnsi="PMingLiU" w:cs="PMingLiU" w:hint="eastAsia"/>
        </w:rPr>
        <w:t>章</w:t>
      </w:r>
      <w:r w:rsidRPr="000C7ABD">
        <w:rPr>
          <w:rFonts w:ascii="PMingLiU" w:hAnsi="PMingLiU" w:cs="PMingLiU" w:hint="eastAsia"/>
          <w:lang w:val="fr-FR"/>
        </w:rPr>
        <w:t xml:space="preserve">：                                       </w:t>
      </w:r>
    </w:p>
    <w:p w14:paraId="475ACD53" w14:textId="77777777" w:rsidR="00076C77" w:rsidRPr="000C7ABD" w:rsidRDefault="00000000">
      <w:pPr>
        <w:spacing w:line="360" w:lineRule="exact"/>
        <w:rPr>
          <w:rFonts w:ascii="PMingLiU" w:hAnsi="PMingLiU" w:cs="PMingLiU"/>
          <w:lang w:val="fr-FR"/>
        </w:rPr>
      </w:pPr>
      <w:r w:rsidRPr="000C7ABD">
        <w:rPr>
          <w:rFonts w:ascii="PMingLiU" w:hAnsi="PMingLiU" w:cs="PMingLiU" w:hint="eastAsia"/>
          <w:lang w:val="fr-FR"/>
        </w:rPr>
        <w:t xml:space="preserve">    </w:t>
      </w:r>
    </w:p>
    <w:p w14:paraId="0183BF06" w14:textId="77777777" w:rsidR="00076C77" w:rsidRPr="000C7ABD" w:rsidRDefault="00076C77">
      <w:pPr>
        <w:spacing w:line="360" w:lineRule="exact"/>
        <w:rPr>
          <w:rFonts w:ascii="PMingLiU" w:hAnsi="PMingLiU" w:cs="PMingLiU"/>
          <w:lang w:val="fr-FR"/>
        </w:rPr>
      </w:pPr>
    </w:p>
    <w:p w14:paraId="364402CD" w14:textId="77777777" w:rsidR="00076C77" w:rsidRPr="000C7ABD" w:rsidRDefault="00000000">
      <w:pPr>
        <w:spacing w:line="360" w:lineRule="exact"/>
        <w:ind w:right="-365"/>
        <w:jc w:val="center"/>
        <w:rPr>
          <w:rFonts w:ascii="PMingLiU" w:hAnsi="PMingLiU" w:cs="PMingLiU"/>
          <w:lang w:val="fr-FR"/>
        </w:rPr>
      </w:pPr>
      <w:r>
        <w:rPr>
          <w:rFonts w:ascii="PMingLiU" w:hAnsi="PMingLiU" w:cs="PMingLiU" w:hint="eastAsia"/>
        </w:rPr>
        <w:t>中</w:t>
      </w:r>
      <w:r w:rsidRPr="000C7ABD">
        <w:rPr>
          <w:rFonts w:ascii="PMingLiU" w:hAnsi="PMingLiU" w:cs="PMingLiU" w:hint="eastAsia"/>
          <w:lang w:val="fr-FR"/>
        </w:rPr>
        <w:tab/>
      </w:r>
      <w:r>
        <w:rPr>
          <w:rFonts w:ascii="PMingLiU" w:hAnsi="PMingLiU" w:cs="PMingLiU" w:hint="eastAsia"/>
        </w:rPr>
        <w:t>華</w:t>
      </w:r>
      <w:r w:rsidRPr="000C7ABD">
        <w:rPr>
          <w:rFonts w:ascii="PMingLiU" w:hAnsi="PMingLiU" w:cs="PMingLiU" w:hint="eastAsia"/>
          <w:lang w:val="fr-FR"/>
        </w:rPr>
        <w:tab/>
      </w:r>
      <w:r>
        <w:rPr>
          <w:rFonts w:ascii="PMingLiU" w:hAnsi="PMingLiU" w:cs="PMingLiU" w:hint="eastAsia"/>
        </w:rPr>
        <w:t>民</w:t>
      </w:r>
      <w:r w:rsidRPr="000C7ABD">
        <w:rPr>
          <w:rFonts w:ascii="PMingLiU" w:hAnsi="PMingLiU" w:cs="PMingLiU" w:hint="eastAsia"/>
          <w:lang w:val="fr-FR"/>
        </w:rPr>
        <w:tab/>
      </w:r>
      <w:r>
        <w:rPr>
          <w:rFonts w:ascii="PMingLiU" w:hAnsi="PMingLiU" w:cs="PMingLiU" w:hint="eastAsia"/>
        </w:rPr>
        <w:t>國</w:t>
      </w:r>
      <w:r w:rsidRPr="000C7ABD">
        <w:rPr>
          <w:rFonts w:ascii="PMingLiU" w:hAnsi="PMingLiU" w:cs="PMingLiU" w:hint="eastAsia"/>
          <w:lang w:val="fr-FR"/>
        </w:rPr>
        <w:t xml:space="preserve"> </w:t>
      </w:r>
      <w:r>
        <w:rPr>
          <w:rFonts w:ascii="PMingLiU" w:hAnsi="PMingLiU" w:cs="PMingLiU" w:hint="eastAsia"/>
        </w:rPr>
        <w:fldChar w:fldCharType="begin">
          <w:ffData>
            <w:name w:val="Text1"/>
            <w:enabled/>
            <w:calcOnExit w:val="0"/>
            <w:textInput/>
          </w:ffData>
        </w:fldChar>
      </w:r>
      <w:r w:rsidRPr="000C7ABD">
        <w:rPr>
          <w:rFonts w:ascii="PMingLiU" w:hAnsi="PMingLiU" w:cs="PMingLiU" w:hint="eastAsia"/>
          <w:lang w:val="fr-FR"/>
        </w:rPr>
        <w:instrText xml:space="preserve"> FORMTEXT </w:instrText>
      </w:r>
      <w:r>
        <w:rPr>
          <w:rFonts w:ascii="PMingLiU" w:hAnsi="PMingLiU" w:cs="PMingLiU" w:hint="eastAsia"/>
        </w:rPr>
      </w:r>
      <w:r>
        <w:rPr>
          <w:rFonts w:ascii="PMingLiU" w:hAnsi="PMingLiU" w:cs="PMingLiU" w:hint="eastAsia"/>
        </w:rPr>
        <w:fldChar w:fldCharType="separate"/>
      </w:r>
      <w:r w:rsidRPr="000C7ABD">
        <w:rPr>
          <w:rFonts w:ascii="PMingLiU" w:hAnsi="PMingLiU" w:cs="PMingLiU" w:hint="eastAsia"/>
          <w:lang w:val="fr-FR"/>
        </w:rPr>
        <w:t>     </w:t>
      </w:r>
      <w:r>
        <w:rPr>
          <w:rFonts w:ascii="PMingLiU" w:hAnsi="PMingLiU" w:cs="PMingLiU" w:hint="eastAsia"/>
        </w:rPr>
        <w:fldChar w:fldCharType="end"/>
      </w:r>
      <w:r w:rsidRPr="000C7ABD">
        <w:rPr>
          <w:rFonts w:ascii="PMingLiU" w:hAnsi="PMingLiU" w:cs="PMingLiU" w:hint="eastAsia"/>
          <w:lang w:val="fr-FR"/>
        </w:rPr>
        <w:t xml:space="preserve"> </w:t>
      </w:r>
      <w:r>
        <w:rPr>
          <w:rFonts w:ascii="PMingLiU" w:hAnsi="PMingLiU" w:cs="PMingLiU" w:hint="eastAsia"/>
        </w:rPr>
        <w:t>年</w:t>
      </w:r>
      <w:r>
        <w:rPr>
          <w:rFonts w:ascii="PMingLiU" w:hAnsi="PMingLiU" w:cs="PMingLiU" w:hint="eastAsia"/>
        </w:rPr>
        <w:fldChar w:fldCharType="begin">
          <w:ffData>
            <w:name w:val="Text1"/>
            <w:enabled/>
            <w:calcOnExit w:val="0"/>
            <w:textInput/>
          </w:ffData>
        </w:fldChar>
      </w:r>
      <w:r w:rsidRPr="000C7ABD">
        <w:rPr>
          <w:rFonts w:ascii="PMingLiU" w:hAnsi="PMingLiU" w:cs="PMingLiU" w:hint="eastAsia"/>
          <w:lang w:val="fr-FR"/>
        </w:rPr>
        <w:instrText xml:space="preserve"> FORMTEXT </w:instrText>
      </w:r>
      <w:r>
        <w:rPr>
          <w:rFonts w:ascii="PMingLiU" w:hAnsi="PMingLiU" w:cs="PMingLiU" w:hint="eastAsia"/>
        </w:rPr>
      </w:r>
      <w:r>
        <w:rPr>
          <w:rFonts w:ascii="PMingLiU" w:hAnsi="PMingLiU" w:cs="PMingLiU" w:hint="eastAsia"/>
        </w:rPr>
        <w:fldChar w:fldCharType="separate"/>
      </w:r>
      <w:r w:rsidRPr="000C7ABD">
        <w:rPr>
          <w:rFonts w:ascii="PMingLiU" w:hAnsi="PMingLiU" w:cs="PMingLiU" w:hint="eastAsia"/>
          <w:lang w:val="fr-FR"/>
        </w:rPr>
        <w:t>     </w:t>
      </w:r>
      <w:r>
        <w:rPr>
          <w:rFonts w:ascii="PMingLiU" w:hAnsi="PMingLiU" w:cs="PMingLiU" w:hint="eastAsia"/>
        </w:rPr>
        <w:fldChar w:fldCharType="end"/>
      </w:r>
      <w:r w:rsidRPr="000C7ABD">
        <w:rPr>
          <w:rFonts w:ascii="PMingLiU" w:hAnsi="PMingLiU" w:cs="PMingLiU" w:hint="eastAsia"/>
          <w:lang w:val="fr-FR"/>
        </w:rPr>
        <w:t xml:space="preserve"> </w:t>
      </w:r>
      <w:r>
        <w:rPr>
          <w:rFonts w:ascii="PMingLiU" w:hAnsi="PMingLiU" w:cs="PMingLiU" w:hint="eastAsia"/>
        </w:rPr>
        <w:t>月</w:t>
      </w:r>
      <w:r>
        <w:rPr>
          <w:rFonts w:ascii="PMingLiU" w:hAnsi="PMingLiU" w:cs="PMingLiU" w:hint="eastAsia"/>
        </w:rPr>
        <w:fldChar w:fldCharType="begin">
          <w:ffData>
            <w:name w:val="Text1"/>
            <w:enabled/>
            <w:calcOnExit w:val="0"/>
            <w:textInput/>
          </w:ffData>
        </w:fldChar>
      </w:r>
      <w:r w:rsidRPr="000C7ABD">
        <w:rPr>
          <w:rFonts w:ascii="PMingLiU" w:hAnsi="PMingLiU" w:cs="PMingLiU" w:hint="eastAsia"/>
          <w:lang w:val="fr-FR"/>
        </w:rPr>
        <w:instrText xml:space="preserve"> FORMTEXT </w:instrText>
      </w:r>
      <w:r>
        <w:rPr>
          <w:rFonts w:ascii="PMingLiU" w:hAnsi="PMingLiU" w:cs="PMingLiU" w:hint="eastAsia"/>
        </w:rPr>
      </w:r>
      <w:r>
        <w:rPr>
          <w:rFonts w:ascii="PMingLiU" w:hAnsi="PMingLiU" w:cs="PMingLiU" w:hint="eastAsia"/>
        </w:rPr>
        <w:fldChar w:fldCharType="separate"/>
      </w:r>
      <w:r w:rsidRPr="000C7ABD">
        <w:rPr>
          <w:rFonts w:ascii="PMingLiU" w:hAnsi="PMingLiU" w:cs="PMingLiU" w:hint="eastAsia"/>
          <w:lang w:val="fr-FR"/>
        </w:rPr>
        <w:t>     </w:t>
      </w:r>
      <w:r>
        <w:rPr>
          <w:rFonts w:ascii="PMingLiU" w:hAnsi="PMingLiU" w:cs="PMingLiU" w:hint="eastAsia"/>
        </w:rPr>
        <w:fldChar w:fldCharType="end"/>
      </w:r>
      <w:r w:rsidRPr="000C7ABD">
        <w:rPr>
          <w:rFonts w:ascii="PMingLiU" w:hAnsi="PMingLiU" w:cs="PMingLiU" w:hint="eastAsia"/>
          <w:lang w:val="fr-FR"/>
        </w:rPr>
        <w:t xml:space="preserve"> </w:t>
      </w:r>
      <w:r>
        <w:rPr>
          <w:rFonts w:ascii="PMingLiU" w:hAnsi="PMingLiU" w:cs="PMingLiU" w:hint="eastAsia"/>
        </w:rPr>
        <w:t>日</w:t>
      </w:r>
    </w:p>
    <w:p w14:paraId="6A2C4019" w14:textId="77777777" w:rsidR="00076C77" w:rsidRPr="000C7ABD" w:rsidRDefault="00076C77">
      <w:pPr>
        <w:spacing w:line="360" w:lineRule="exact"/>
        <w:rPr>
          <w:lang w:val="fr-FR"/>
        </w:rPr>
      </w:pPr>
    </w:p>
    <w:p/>
    <w:p>
      <w:r>
        <w:rPr>
          <w:b/>
          <w:color w:val="C00000"/>
          <w:sz w:val="28"/>
        </w:rPr>
        <w:t>補充條款對照表(附件一 ESG準則)</w:t>
      </w:r>
    </w:p>
    <w:p>
      <w:r>
        <w:rPr>
          <w:color w:val="C00000"/>
        </w:rPr>
        <w:t>(本文件原條文一字未改;所有補充內容均以紅字及【補充條款】標記標示,彙整如下,供雙方核對。)</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3402"/>
          </w:tcPr>
          <w:p>
            <w:r>
              <w:rPr>
                <w:b/>
              </w:rPr>
              <w:t>編號</w:t>
            </w:r>
          </w:p>
        </w:tc>
        <w:tc>
          <w:tcPr>
            <w:tcW w:type="dxa" w:w="3402"/>
          </w:tcPr>
          <w:p>
            <w:r>
              <w:rPr>
                <w:b/>
              </w:rPr>
              <w:t>對應原條款</w:t>
            </w:r>
          </w:p>
        </w:tc>
        <w:tc>
          <w:tcPr>
            <w:tcW w:type="dxa" w:w="3402"/>
          </w:tcPr>
          <w:p>
            <w:r>
              <w:rPr>
                <w:b/>
              </w:rPr>
              <w:t>補充重點</w:t>
            </w:r>
          </w:p>
        </w:tc>
      </w:tr>
      <w:tr>
        <w:tc>
          <w:tcPr>
            <w:tcW w:type="dxa" w:w="3402"/>
          </w:tcPr>
          <w:p>
            <w:r>
              <w:t>補充條款 1</w:t>
            </w:r>
          </w:p>
        </w:tc>
        <w:tc>
          <w:tcPr>
            <w:tcW w:type="dxa" w:w="3402"/>
          </w:tcPr>
          <w:p>
            <w:r>
              <w:t>第三章第5條賠償責任</w:t>
            </w:r>
          </w:p>
        </w:tc>
        <w:tc>
          <w:tcPr>
            <w:tcW w:type="dxa" w:w="3402"/>
          </w:tcPr>
          <w:p>
            <w:r>
              <w:rPr>
                <w:color w:val="C00000"/>
              </w:rPr>
              <w:t>本公司依本準則所負之賠償責任,其對象以買方(上海标竿信息科技有限公司)及其直接客戶為限,且其賠償總額適用主約《供應商合約》第九條(含其補充條款)所定之責任上限。【格式提醒】原文所載「勁永集團」與本合約買方名稱不符,疑為誤植,建議雙方確認並更正。</w:t>
            </w:r>
          </w:p>
        </w:tc>
      </w:tr>
      <w:tr>
        <w:tc>
          <w:tcPr>
            <w:tcW w:type="dxa" w:w="3402"/>
          </w:tcPr>
          <w:p>
            <w:r>
              <w:t>補充條款 2</w:t>
            </w:r>
          </w:p>
        </w:tc>
        <w:tc>
          <w:tcPr>
            <w:tcW w:type="dxa" w:w="3402"/>
          </w:tcPr>
          <w:p>
            <w:r>
              <w:t>第三章第7條承諾書效期</w:t>
            </w:r>
          </w:p>
        </w:tc>
        <w:tc>
          <w:tcPr>
            <w:tcW w:type="dxa" w:w="3402"/>
          </w:tcPr>
          <w:p>
            <w:r>
              <w:rPr>
                <w:color w:val="C00000"/>
              </w:rPr>
              <w:t>本承諾書之效期與主約《供應商合約》相同;主約終止或解除時,本承諾書同時終止,但終止前已發生之義務不受影響。</w:t>
            </w:r>
          </w:p>
        </w:tc>
      </w:tr>
    </w:tbl>
    <w:sectPr w:rsidR="00076C77" w:rsidRPr="000C7ABD">
      <w:headerReference w:type="default" r:id="rId12"/>
      <w:footerReference w:type="default" r:id="rId13"/>
      <w:pgSz w:w="11906" w:h="16838"/>
      <w:pgMar w:top="1134" w:right="850" w:bottom="1134" w:left="850" w:header="851" w:footer="51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2650C8" w14:textId="77777777" w:rsidR="0022201C" w:rsidRDefault="0022201C">
      <w:r>
        <w:separator/>
      </w:r>
    </w:p>
  </w:endnote>
  <w:endnote w:type="continuationSeparator" w:id="0">
    <w:p w14:paraId="2906E562" w14:textId="77777777" w:rsidR="0022201C" w:rsidRDefault="00222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文鼎粗黑">
    <w:altName w:val="宋体"/>
    <w:panose1 w:val="020B0604020202020204"/>
    <w:charset w:val="88"/>
    <w:family w:val="modern"/>
    <w:pitch w:val="default"/>
    <w:sig w:usb0="00000000" w:usb1="00000000" w:usb2="00000016" w:usb3="00000000" w:csb0="001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7B11C" w14:textId="77777777" w:rsidR="00076C77" w:rsidRDefault="00000000">
    <w:pPr>
      <w:spacing w:beforeLines="100" w:before="240" w:afterLines="50" w:after="120" w:line="360" w:lineRule="exact"/>
      <w:rPr>
        <w:sz w:val="20"/>
        <w:szCs w:val="20"/>
      </w:rPr>
    </w:pPr>
    <w:r>
      <w:rPr>
        <w:rFonts w:ascii="PMingLiU" w:hAnsi="PMingLiU" w:cs="PMingLiU" w:hint="eastAsia"/>
        <w:b/>
        <w:sz w:val="20"/>
        <w:szCs w:val="20"/>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2D914A" w14:textId="77777777" w:rsidR="0022201C" w:rsidRDefault="0022201C">
      <w:r>
        <w:separator/>
      </w:r>
    </w:p>
  </w:footnote>
  <w:footnote w:type="continuationSeparator" w:id="0">
    <w:p w14:paraId="7FB1800C" w14:textId="77777777" w:rsidR="0022201C" w:rsidRDefault="00222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D0534B" w14:textId="77777777" w:rsidR="00076C77" w:rsidRDefault="00000000">
    <w:pPr>
      <w:pStyle w:val="a4"/>
    </w:pPr>
    <w:r>
      <w:rPr>
        <w:rFonts w:ascii="Arial" w:eastAsia="文鼎粗黑" w:hAnsi="Arial" w:cs="Arial"/>
        <w:b/>
        <w:noProof/>
        <w:sz w:val="40"/>
        <w:szCs w:val="40"/>
      </w:rPr>
      <w:drawing>
        <wp:anchor distT="0" distB="0" distL="114300" distR="114300" simplePos="0" relativeHeight="251659264" behindDoc="0" locked="0" layoutInCell="1" allowOverlap="1" wp14:anchorId="75853A3A" wp14:editId="1317B2DE">
          <wp:simplePos x="0" y="0"/>
          <wp:positionH relativeFrom="column">
            <wp:posOffset>5622925</wp:posOffset>
          </wp:positionH>
          <wp:positionV relativeFrom="paragraph">
            <wp:posOffset>-410845</wp:posOffset>
          </wp:positionV>
          <wp:extent cx="733425" cy="454025"/>
          <wp:effectExtent l="0" t="0" r="3175" b="3175"/>
          <wp:wrapNone/>
          <wp:docPr id="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3"/>
                  <pic:cNvPicPr>
                    <a:picLocks noChangeAspect="1"/>
                  </pic:cNvPicPr>
                </pic:nvPicPr>
                <pic:blipFill>
                  <a:blip r:embed="rId1"/>
                  <a:stretch>
                    <a:fillRect/>
                  </a:stretch>
                </pic:blipFill>
                <pic:spPr>
                  <a:xfrm>
                    <a:off x="0" y="0"/>
                    <a:ext cx="733425" cy="45402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EA03465"/>
    <w:multiLevelType w:val="singleLevel"/>
    <w:tmpl w:val="8EA03465"/>
    <w:lvl w:ilvl="0">
      <w:start w:val="1"/>
      <w:numFmt w:val="decimal"/>
      <w:lvlText w:val="%1."/>
      <w:lvlJc w:val="left"/>
      <w:pPr>
        <w:tabs>
          <w:tab w:val="left" w:pos="425"/>
        </w:tabs>
        <w:ind w:left="425" w:hanging="425"/>
      </w:pPr>
      <w:rPr>
        <w:rFonts w:hint="default"/>
      </w:rPr>
    </w:lvl>
  </w:abstractNum>
  <w:abstractNum w:abstractNumId="1" w15:restartNumberingAfterBreak="0">
    <w:nsid w:val="92B7A771"/>
    <w:multiLevelType w:val="singleLevel"/>
    <w:tmpl w:val="92B7A771"/>
    <w:lvl w:ilvl="0">
      <w:start w:val="1"/>
      <w:numFmt w:val="chineseCounting"/>
      <w:lvlText w:val="%1."/>
      <w:lvlJc w:val="left"/>
      <w:pPr>
        <w:tabs>
          <w:tab w:val="left" w:pos="312"/>
        </w:tabs>
      </w:pPr>
      <w:rPr>
        <w:rFonts w:hint="eastAsia"/>
      </w:rPr>
    </w:lvl>
  </w:abstractNum>
  <w:abstractNum w:abstractNumId="2" w15:restartNumberingAfterBreak="0">
    <w:nsid w:val="DD83477F"/>
    <w:multiLevelType w:val="singleLevel"/>
    <w:tmpl w:val="DD83477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DE7E9433"/>
    <w:multiLevelType w:val="singleLevel"/>
    <w:tmpl w:val="DE7E9433"/>
    <w:lvl w:ilvl="0">
      <w:start w:val="1"/>
      <w:numFmt w:val="decimal"/>
      <w:lvlText w:val="%1."/>
      <w:lvlJc w:val="left"/>
      <w:pPr>
        <w:tabs>
          <w:tab w:val="left" w:pos="425"/>
        </w:tabs>
        <w:ind w:left="425" w:hanging="425"/>
      </w:pPr>
      <w:rPr>
        <w:rFonts w:ascii="PMingLiU" w:eastAsia="PMingLiU" w:hAnsi="PMingLiU" w:cs="PMingLiU" w:hint="default"/>
        <w:color w:val="000000" w:themeColor="text1"/>
        <w:sz w:val="24"/>
        <w:szCs w:val="24"/>
      </w:rPr>
    </w:lvl>
  </w:abstractNum>
  <w:abstractNum w:abstractNumId="4" w15:restartNumberingAfterBreak="0">
    <w:nsid w:val="6315DD90"/>
    <w:multiLevelType w:val="singleLevel"/>
    <w:tmpl w:val="6315DD90"/>
    <w:lvl w:ilvl="0">
      <w:start w:val="1"/>
      <w:numFmt w:val="decimal"/>
      <w:lvlText w:val="%1."/>
      <w:lvlJc w:val="left"/>
      <w:pPr>
        <w:tabs>
          <w:tab w:val="left" w:pos="425"/>
        </w:tabs>
        <w:ind w:left="425" w:hanging="425"/>
      </w:pPr>
      <w:rPr>
        <w:rFonts w:ascii="PMingLiU" w:eastAsia="PMingLiU" w:hAnsi="PMingLiU" w:cs="PMingLiU" w:hint="default"/>
        <w:color w:val="000000" w:themeColor="text1"/>
        <w:sz w:val="24"/>
        <w:szCs w:val="24"/>
      </w:rPr>
    </w:lvl>
  </w:abstractNum>
  <w:num w:numId="1" w16cid:durableId="427233685">
    <w:abstractNumId w:val="1"/>
  </w:num>
  <w:num w:numId="2" w16cid:durableId="1876189162">
    <w:abstractNumId w:val="0"/>
  </w:num>
  <w:num w:numId="3" w16cid:durableId="1144615425">
    <w:abstractNumId w:val="3"/>
  </w:num>
  <w:num w:numId="4" w16cid:durableId="753362262">
    <w:abstractNumId w:val="4"/>
  </w:num>
  <w:num w:numId="5" w16cid:durableId="145945258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5C2718F"/>
    <w:rsid w:val="00025C5A"/>
    <w:rsid w:val="00076C77"/>
    <w:rsid w:val="000C7ABD"/>
    <w:rsid w:val="0022201C"/>
    <w:rsid w:val="00860977"/>
    <w:rsid w:val="00A91F51"/>
    <w:rsid w:val="00D51AE3"/>
    <w:rsid w:val="15C2718F"/>
    <w:rsid w:val="275F5F03"/>
    <w:rsid w:val="27CE5C62"/>
    <w:rsid w:val="387632B9"/>
    <w:rsid w:val="59634F08"/>
    <w:rsid w:val="603346F8"/>
    <w:rsid w:val="739B587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7A4F6C8"/>
  <w15:docId w15:val="{4D400FBF-DE6A-3940-90F4-9B48D6BC2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eastAsia="PMingLiU"/>
      <w:kern w:val="2"/>
      <w:sz w:val="24"/>
      <w:szCs w:val="24"/>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header"/>
    <w:basedOn w:val="a"/>
    <w:qFormat/>
    <w:pPr>
      <w:tabs>
        <w:tab w:val="center" w:pos="4153"/>
        <w:tab w:val="right" w:pos="8306"/>
      </w:tabs>
      <w:snapToGrid w:val="0"/>
    </w:pPr>
    <w:rPr>
      <w:sz w:val="20"/>
      <w:szCs w:val="20"/>
    </w:rPr>
  </w:style>
  <w:style w:type="paragraph" w:styleId="a5">
    <w:name w:val="footer"/>
    <w:basedOn w:val="a"/>
    <w:qFormat/>
    <w:pPr>
      <w:tabs>
        <w:tab w:val="center" w:pos="4153"/>
        <w:tab w:val="right" w:pos="8306"/>
      </w:tabs>
      <w:snapToGrid w:val="0"/>
    </w:pPr>
    <w:rPr>
      <w:sz w:val="20"/>
      <w:szCs w:val="20"/>
    </w:rPr>
  </w:style>
  <w:style w:type="paragraph" w:styleId="a6">
    <w:name w:val="List Paragraph"/>
    <w:basedOn w:val="a"/>
    <w:uiPriority w:val="1"/>
    <w:qFormat/>
    <w:pPr>
      <w:ind w:left="84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eicc.info/code.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ecd.org/daf/inv/mne/mining.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 TargetMode="External"/><Relationship Id="rId4" Type="http://schemas.openxmlformats.org/officeDocument/2006/relationships/webSettings" Target="webSettings.xml"/><Relationship Id="rId9" Type="http://schemas.openxmlformats.org/officeDocument/2006/relationships/hyperlink" Target="http://www.sec.gov/about/laws/wallstreetreform-cpa.pdf"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Cindy_Chiang</dc:creator>
  <cp:lastModifiedBy>Microsoft Office User</cp:lastModifiedBy>
  <cp:revision>3</cp:revision>
  <dcterms:created xsi:type="dcterms:W3CDTF">2026-06-23T08:44:00Z</dcterms:created>
  <dcterms:modified xsi:type="dcterms:W3CDTF">2026-06-24T09:15:00Z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1028-11.8.2.11665</vt:lpwstr>
  </property>
  <property fmtid="{D5CDD505-2E9C-101B-9397-08002B2CF9AE}" pid="3" name="ICV">
    <vt:lpwstr>D58BE58799F64D20865C931D9C60C66C</vt:lpwstr>
  </property>
</Properties>
</file>