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E2667" w14:textId="77777777" w:rsidR="0090036A" w:rsidRDefault="00000000">
      <w:pPr>
        <w:spacing w:line="360" w:lineRule="exact"/>
        <w:jc w:val="center"/>
        <w:rPr>
          <w:rFonts w:ascii="PMingLiU" w:hAnsi="PMingLiU" w:cs="PMingLiU"/>
          <w:b/>
          <w:sz w:val="32"/>
          <w:szCs w:val="32"/>
        </w:rPr>
      </w:pPr>
      <w:r>
        <w:rPr>
          <w:rFonts w:ascii="PMingLiU" w:hAnsi="PMingLiU" w:cs="PMingLiU" w:hint="eastAsia"/>
          <w:b/>
          <w:sz w:val="32"/>
          <w:szCs w:val="32"/>
        </w:rPr>
        <w:t>【附件二】供應商支援售後服務協議</w:t>
      </w:r>
    </w:p>
    <w:p w14:paraId="4263F1A5" w14:textId="77777777" w:rsidR="0090036A" w:rsidRDefault="00000000">
      <w:pPr>
        <w:spacing w:beforeLines="100" w:before="312" w:afterLines="50" w:after="156" w:line="360" w:lineRule="exact"/>
        <w:rPr>
          <w:rFonts w:ascii="PMingLiU" w:hAnsi="PMingLiU" w:cs="PMingLiU"/>
          <w:b/>
        </w:rPr>
      </w:pPr>
      <w:r>
        <w:rPr>
          <w:rFonts w:ascii="PMingLiU" w:hAnsi="PMingLiU" w:cs="PMingLiU" w:hint="eastAsia"/>
          <w:b/>
        </w:rPr>
        <w:t>一、相關用語之定義及本協議書適用範圍</w:t>
      </w:r>
    </w:p>
    <w:p w14:paraId="0F3A1193" w14:textId="77777777" w:rsidR="0090036A" w:rsidRDefault="00000000">
      <w:pPr>
        <w:numPr>
          <w:ilvl w:val="0"/>
          <w:numId w:val="1"/>
        </w:numPr>
        <w:tabs>
          <w:tab w:val="left" w:pos="900"/>
        </w:tabs>
        <w:spacing w:line="360" w:lineRule="exact"/>
        <w:ind w:left="902" w:hanging="360"/>
        <w:rPr>
          <w:rFonts w:ascii="PMingLiU" w:hAnsi="PMingLiU" w:cs="PMingLiU"/>
        </w:rPr>
      </w:pPr>
      <w:r>
        <w:rPr>
          <w:rFonts w:ascii="PMingLiU" w:hAnsi="PMingLiU" w:cs="PMingLiU" w:hint="eastAsia"/>
        </w:rPr>
        <w:t>本協議書所稱之「本產品」係指供應商銷售給買方之產品；</w:t>
      </w:r>
    </w:p>
    <w:p w14:paraId="41C0E495" w14:textId="77777777" w:rsidR="0090036A" w:rsidRDefault="00000000">
      <w:pPr>
        <w:spacing w:line="360" w:lineRule="exact"/>
        <w:ind w:left="902"/>
        <w:rPr>
          <w:rFonts w:ascii="PMingLiU" w:hAnsi="PMingLiU" w:cs="PMingLiU"/>
        </w:rPr>
      </w:pPr>
      <w:r>
        <w:rPr>
          <w:rFonts w:ascii="PMingLiU" w:hAnsi="PMingLiU" w:cs="PMingLiU" w:hint="eastAsia"/>
        </w:rPr>
        <w:t>本協議書所稱之「故障品」係指不符合規格書且經消費者要求維修或更換之本產品；</w:t>
      </w:r>
    </w:p>
    <w:p w14:paraId="200DFA1A" w14:textId="77777777" w:rsidR="0090036A" w:rsidRDefault="00000000">
      <w:pPr>
        <w:spacing w:line="360" w:lineRule="exact"/>
        <w:ind w:left="902"/>
        <w:rPr>
          <w:rFonts w:ascii="PMingLiU" w:hAnsi="PMingLiU" w:cs="PMingLiU"/>
        </w:rPr>
      </w:pPr>
      <w:r>
        <w:rPr>
          <w:rFonts w:ascii="PMingLiU" w:hAnsi="PMingLiU" w:cs="PMingLiU" w:hint="eastAsia"/>
        </w:rPr>
        <w:t>本協議書所稱之「完修品」係指完成維修之故障品；</w:t>
      </w:r>
    </w:p>
    <w:p w14:paraId="53408658" w14:textId="77777777" w:rsidR="0090036A" w:rsidRDefault="00000000">
      <w:pPr>
        <w:spacing w:line="360" w:lineRule="exact"/>
        <w:ind w:left="902"/>
        <w:rPr>
          <w:rFonts w:ascii="PMingLiU" w:hAnsi="PMingLiU" w:cs="PMingLiU"/>
        </w:rPr>
      </w:pPr>
      <w:r>
        <w:rPr>
          <w:rFonts w:ascii="PMingLiU" w:hAnsi="PMingLiU" w:cs="PMingLiU" w:hint="eastAsia"/>
        </w:rPr>
        <w:t>本協議書所稱之「人為損害」係指因消費者之不當使用、自行拆裝或不當保管所生之損害。</w:t>
      </w:r>
    </w:p>
    <w:p w14:paraId="6D6EC212" w14:textId="77777777" w:rsidR="0090036A" w:rsidRDefault="00000000">
      <w:pPr>
        <w:numPr>
          <w:ilvl w:val="0"/>
          <w:numId w:val="1"/>
        </w:numPr>
        <w:tabs>
          <w:tab w:val="left" w:pos="900"/>
        </w:tabs>
        <w:spacing w:line="360" w:lineRule="exact"/>
        <w:ind w:left="902" w:hanging="360"/>
        <w:rPr>
          <w:rFonts w:ascii="PMingLiU" w:hAnsi="PMingLiU" w:cs="PMingLiU"/>
        </w:rPr>
      </w:pPr>
      <w:r>
        <w:rPr>
          <w:rFonts w:ascii="PMingLiU" w:hAnsi="PMingLiU" w:cs="PMingLiU" w:hint="eastAsia"/>
        </w:rPr>
        <w:t>本產品於保固期間（定義如下）內發生故障者，供應商應免費提供維修服務；保固期間屆滿後，供應商仍應繼續提供本產品之維修服務，但得收取必要之費用，收費標準及相關細節由甲乙雙方另行以書面協議定之。</w:t>
      </w:r>
    </w:p>
    <w:p w14:paraId="4D182027" w14:textId="77777777" w:rsidR="0090036A" w:rsidRDefault="00000000">
      <w:pPr>
        <w:spacing w:beforeLines="100" w:before="312" w:afterLines="50" w:after="156" w:line="360" w:lineRule="exact"/>
        <w:rPr>
          <w:rFonts w:ascii="PMingLiU" w:hAnsi="PMingLiU" w:cs="PMingLiU"/>
          <w:b/>
        </w:rPr>
      </w:pPr>
      <w:r>
        <w:rPr>
          <w:rFonts w:ascii="PMingLiU" w:hAnsi="PMingLiU" w:cs="PMingLiU" w:hint="eastAsia"/>
          <w:b/>
        </w:rPr>
        <w:t>二、維修服務</w:t>
      </w:r>
    </w:p>
    <w:p w14:paraId="31965C80" w14:textId="77777777" w:rsidR="0090036A" w:rsidRDefault="00000000">
      <w:pPr>
        <w:spacing w:line="360" w:lineRule="exact"/>
        <w:rPr>
          <w:rFonts w:ascii="PMingLiU" w:hAnsi="PMingLiU" w:cs="PMingLiU"/>
        </w:rPr>
      </w:pPr>
      <w:r>
        <w:rPr>
          <w:rFonts w:ascii="PMingLiU" w:hAnsi="PMingLiU" w:cs="PMingLiU" w:hint="eastAsia"/>
          <w:b/>
          <w:color w:val="FF0000"/>
        </w:rPr>
        <w:t xml:space="preserve">  </w:t>
      </w:r>
      <w:r>
        <w:rPr>
          <w:rFonts w:ascii="PMingLiU" w:hAnsi="PMingLiU" w:cs="PMingLiU" w:hint="eastAsia"/>
          <w:b/>
        </w:rPr>
        <w:t xml:space="preserve">  </w:t>
      </w:r>
      <w:r>
        <w:rPr>
          <w:rFonts w:ascii="PMingLiU" w:hAnsi="PMingLiU" w:cs="PMingLiU" w:hint="eastAsia"/>
        </w:rPr>
        <w:t>1.  維修保固期限：自本產品</w:t>
      </w:r>
      <w:r>
        <w:rPr>
          <w:rFonts w:ascii="PMingLiU" w:hAnsi="PMingLiU" w:cs="PMingLiU" w:hint="eastAsia"/>
          <w:color w:val="FF0000"/>
        </w:rPr>
        <w:t>由買方或買方指定客戶驗收合格日起計</w:t>
      </w:r>
      <w:r>
        <w:rPr>
          <w:rFonts w:ascii="PMingLiU" w:hAnsi="PMingLiU" w:cs="PMingLiU" w:hint="eastAsia"/>
          <w:color w:val="FF0000"/>
          <w:u w:val="single"/>
        </w:rPr>
        <w:t xml:space="preserve">    </w:t>
      </w:r>
      <w:r>
        <w:rPr>
          <w:rFonts w:ascii="PMingLiU" w:hAnsi="PMingLiU" w:cs="PMingLiU" w:hint="eastAsia"/>
          <w:color w:val="FF0000"/>
        </w:rPr>
        <w:t>個月。</w:t>
      </w:r>
    </w:p>
    <w:p>
      <w:r>
        <w:rPr>
          <w:b/>
          <w:color w:val="C00000"/>
          <w:highlight w:val="yellow"/>
          <w:rFonts w:eastAsia="標楷體"/>
        </w:rPr>
        <w:t>【補充條款 1】</w:t>
      </w:r>
      <w:r>
        <w:rPr>
          <w:color w:val="C00000"/>
          <w:rFonts w:eastAsia="標楷體"/>
        </w:rPr>
        <w:t>(對應第二條第1項維修保固期限)(建議,待雙方議定)維修保固期限建議為十二(12)個月;且無論買方或其指定客戶之驗收日為何,保固期間最長不超過供應商出貨日起十五(15)個月,以先屆至者為準。</w:t>
      </w:r>
    </w:p>
    <w:p w14:paraId="7067564A" w14:textId="77777777" w:rsidR="0090036A" w:rsidRDefault="00000000">
      <w:pPr>
        <w:spacing w:line="360" w:lineRule="exact"/>
        <w:ind w:firstLineChars="200" w:firstLine="480"/>
        <w:rPr>
          <w:rFonts w:ascii="PMingLiU" w:hAnsi="PMingLiU" w:cs="PMingLiU"/>
        </w:rPr>
      </w:pPr>
      <w:r>
        <w:rPr>
          <w:rFonts w:ascii="PMingLiU" w:hAnsi="PMingLiU" w:cs="PMingLiU" w:hint="eastAsia"/>
        </w:rPr>
        <w:t>2.  供應商應依下列規定，提供本產品之維修服務：</w:t>
      </w:r>
    </w:p>
    <w:p w14:paraId="47665323" w14:textId="77777777" w:rsidR="0090036A" w:rsidRDefault="00000000">
      <w:pPr>
        <w:spacing w:line="360" w:lineRule="exact"/>
        <w:ind w:left="961" w:hangingChars="400" w:hanging="961"/>
        <w:jc w:val="both"/>
        <w:rPr>
          <w:rFonts w:ascii="PMingLiU" w:hAnsi="PMingLiU" w:cs="PMingLiU"/>
        </w:rPr>
      </w:pPr>
      <w:r>
        <w:rPr>
          <w:rFonts w:ascii="PMingLiU" w:hAnsi="PMingLiU" w:cs="PMingLiU" w:hint="eastAsia"/>
          <w:b/>
        </w:rPr>
        <w:t xml:space="preserve"> </w:t>
      </w:r>
      <w:r>
        <w:rPr>
          <w:rFonts w:ascii="PMingLiU" w:hAnsi="PMingLiU" w:cs="PMingLiU" w:hint="eastAsia"/>
        </w:rPr>
        <w:t xml:space="preserve">  （1）新品不良( DOA)：本產品於供應商出貨之日起</w:t>
      </w:r>
      <w:r>
        <w:rPr>
          <w:rFonts w:ascii="PMingLiU" w:hAnsi="PMingLiU" w:cs="PMingLiU" w:hint="eastAsia"/>
          <w:color w:val="FF0000"/>
          <w:u w:val="single"/>
        </w:rPr>
        <w:t xml:space="preserve">    </w:t>
      </w:r>
      <w:r>
        <w:rPr>
          <w:rFonts w:ascii="PMingLiU" w:hAnsi="PMingLiU" w:cs="PMingLiU" w:hint="eastAsia"/>
          <w:color w:val="000000"/>
        </w:rPr>
        <w:t>個工作天</w:t>
      </w:r>
      <w:r>
        <w:rPr>
          <w:rFonts w:ascii="PMingLiU" w:hAnsi="PMingLiU" w:cs="PMingLiU" w:hint="eastAsia"/>
        </w:rPr>
        <w:t>內發生故障者，供應商應於接獲買方寄出的故障品後</w:t>
      </w:r>
      <w:r>
        <w:rPr>
          <w:rFonts w:ascii="PMingLiU" w:hAnsi="PMingLiU" w:cs="PMingLiU" w:hint="eastAsia"/>
          <w:color w:val="FF0000"/>
          <w:u w:val="single"/>
        </w:rPr>
        <w:t xml:space="preserve">   </w:t>
      </w:r>
      <w:r>
        <w:rPr>
          <w:rFonts w:ascii="PMingLiU" w:hAnsi="PMingLiU" w:cs="PMingLiU" w:hint="eastAsia"/>
          <w:color w:val="000000"/>
        </w:rPr>
        <w:t>個工作天</w:t>
      </w:r>
      <w:r>
        <w:rPr>
          <w:rFonts w:ascii="PMingLiU" w:hAnsi="PMingLiU" w:cs="PMingLiU" w:hint="eastAsia"/>
        </w:rPr>
        <w:t>內以等同交付新品的方式處理故障品，並將新品運送至買方指定之地點交付買方或買方指定之人簽收。</w:t>
      </w:r>
    </w:p>
    <w:p w14:paraId="3B90421A" w14:textId="77777777" w:rsidR="0090036A" w:rsidRDefault="00000000">
      <w:pPr>
        <w:spacing w:line="360" w:lineRule="exact"/>
        <w:ind w:left="960" w:hangingChars="400" w:hanging="960"/>
        <w:jc w:val="both"/>
        <w:rPr>
          <w:rFonts w:ascii="PMingLiU" w:hAnsi="PMingLiU" w:cs="PMingLiU"/>
        </w:rPr>
      </w:pPr>
      <w:r>
        <w:rPr>
          <w:rFonts w:ascii="PMingLiU" w:hAnsi="PMingLiU" w:cs="PMingLiU" w:hint="eastAsia"/>
        </w:rPr>
        <w:t xml:space="preserve">   （2）一般維修(RMA)：本產品於供應商出貨後超過</w:t>
      </w:r>
      <w:r>
        <w:rPr>
          <w:rFonts w:ascii="PMingLiU" w:hAnsi="PMingLiU" w:cs="PMingLiU" w:hint="eastAsia"/>
          <w:color w:val="FF0000"/>
          <w:u w:val="single"/>
        </w:rPr>
        <w:t xml:space="preserve">    </w:t>
      </w:r>
      <w:r>
        <w:rPr>
          <w:rFonts w:ascii="PMingLiU" w:hAnsi="PMingLiU" w:cs="PMingLiU" w:hint="eastAsia"/>
          <w:color w:val="000000"/>
        </w:rPr>
        <w:t>個工作天</w:t>
      </w:r>
      <w:r>
        <w:rPr>
          <w:rFonts w:ascii="PMingLiU" w:hAnsi="PMingLiU" w:cs="PMingLiU" w:hint="eastAsia"/>
        </w:rPr>
        <w:t>且於維修保固期限內發生故障者，供應商應於接獲買方寄出的故障品後</w:t>
      </w:r>
      <w:r>
        <w:rPr>
          <w:rFonts w:ascii="PMingLiU" w:hAnsi="PMingLiU" w:cs="PMingLiU" w:hint="eastAsia"/>
          <w:color w:val="FF0000"/>
          <w:u w:val="single"/>
        </w:rPr>
        <w:t xml:space="preserve">    </w:t>
      </w:r>
      <w:r>
        <w:rPr>
          <w:rFonts w:ascii="PMingLiU" w:hAnsi="PMingLiU" w:cs="PMingLiU" w:hint="eastAsia"/>
          <w:color w:val="000000"/>
        </w:rPr>
        <w:t>個工作天</w:t>
      </w:r>
      <w:r>
        <w:rPr>
          <w:rFonts w:ascii="PMingLiU" w:hAnsi="PMingLiU" w:cs="PMingLiU" w:hint="eastAsia"/>
        </w:rPr>
        <w:t>內完成故障品之維修，並將完修品運送至買方指定之地點交付買方或買方指定之人簽收。</w:t>
      </w:r>
    </w:p>
    <w:p>
      <w:r>
        <w:rPr>
          <w:b/>
          <w:color w:val="C00000"/>
          <w:highlight w:val="yellow"/>
          <w:rFonts w:eastAsia="標楷體"/>
        </w:rPr>
        <w:t>【補充條款 2】</w:t>
      </w:r>
      <w:r>
        <w:rPr>
          <w:color w:val="C00000"/>
          <w:rFonts w:eastAsia="標楷體"/>
        </w:rPr>
        <w:t>(對應第二條第2項(1)(2)DOA/RMA期限)(建議,待雙方議定)DOA認定期間建議為供應商出貨之日起三十(30)日;DOA處理期限建議為接獲故障品後七(7)個工作天;RMA完修期限建議為接獲故障品後十四(14)個工作天。</w:t>
      </w:r>
    </w:p>
    <w:p w14:paraId="2844B7DD" w14:textId="77777777" w:rsidR="0090036A" w:rsidRDefault="00000000">
      <w:pPr>
        <w:spacing w:line="360" w:lineRule="exact"/>
        <w:ind w:left="960" w:hangingChars="400" w:hanging="960"/>
        <w:jc w:val="both"/>
        <w:rPr>
          <w:rFonts w:ascii="PMingLiU" w:hAnsi="PMingLiU" w:cs="PMingLiU"/>
        </w:rPr>
      </w:pPr>
      <w:r>
        <w:rPr>
          <w:rFonts w:ascii="PMingLiU" w:hAnsi="PMingLiU" w:cs="PMingLiU" w:hint="eastAsia"/>
        </w:rPr>
        <w:t xml:space="preserve">   （3）報價維修：本產品於維修保固期限屆滿後發生故障者，供應商可針對維修內容提供維修報價資料予買方，雙方議定價格後，供應商進行故障品維修。如待維修品已屬EOL產品，則由雙方另行協議以相同規格產品進行換貨或採其他方式處理。</w:t>
      </w:r>
    </w:p>
    <w:p w14:paraId="6F4E59A5" w14:textId="77777777" w:rsidR="0090036A" w:rsidRDefault="00000000">
      <w:pPr>
        <w:spacing w:line="360" w:lineRule="exact"/>
        <w:ind w:left="960" w:hangingChars="400" w:hanging="960"/>
        <w:jc w:val="both"/>
        <w:rPr>
          <w:rFonts w:ascii="PMingLiU" w:hAnsi="PMingLiU" w:cs="PMingLiU"/>
        </w:rPr>
      </w:pPr>
      <w:r>
        <w:rPr>
          <w:rFonts w:ascii="PMingLiU" w:hAnsi="PMingLiU" w:cs="PMingLiU" w:hint="eastAsia"/>
        </w:rPr>
        <w:t xml:space="preserve">   （4）供應商維修故障品或重新交付新品時，應主動將完修品或更換之新品升級至最新版本之韌體/軟體。供應商如有</w:t>
      </w:r>
      <w:r>
        <w:rPr>
          <w:rFonts w:ascii="PMingLiU" w:hAnsi="PMingLiU" w:cs="PMingLiU" w:hint="eastAsia"/>
          <w:color w:val="000000"/>
        </w:rPr>
        <w:t>超過前述議定維修期限仍未完成維修服務者，</w:t>
      </w:r>
      <w:r>
        <w:rPr>
          <w:rFonts w:ascii="PMingLiU" w:hAnsi="PMingLiU" w:cs="PMingLiU" w:hint="eastAsia"/>
          <w:color w:val="FF0000"/>
        </w:rPr>
        <w:t>買方得逕行辦理銷退，銷退金額依買方原採購訂單單價或最近一次驗收價格（以高者為準）計算，供應商不得異議。</w:t>
      </w:r>
    </w:p>
    <w:p>
      <w:r>
        <w:rPr>
          <w:b/>
          <w:color w:val="C00000"/>
          <w:highlight w:val="yellow"/>
          <w:rFonts w:eastAsia="標楷體"/>
        </w:rPr>
        <w:t>【補充條款 3】</w:t>
      </w:r>
      <w:r>
        <w:rPr>
          <w:color w:val="C00000"/>
          <w:rFonts w:eastAsia="標楷體"/>
        </w:rPr>
        <w:t>(對應第二條第2項(4)逾期銷退計價)買方依本項辦理銷退時,銷退金額以該故障品之實際採購單價計算之。</w:t>
      </w:r>
    </w:p>
    <w:p w14:paraId="2BD21045" w14:textId="77777777" w:rsidR="0090036A" w:rsidRDefault="00000000">
      <w:pPr>
        <w:tabs>
          <w:tab w:val="left" w:pos="854"/>
        </w:tabs>
        <w:spacing w:line="360" w:lineRule="exact"/>
        <w:ind w:leftChars="222" w:left="540" w:hangingChars="3" w:hanging="7"/>
        <w:rPr>
          <w:rFonts w:ascii="PMingLiU" w:hAnsi="PMingLiU" w:cs="PMingLiU"/>
        </w:rPr>
      </w:pPr>
      <w:r>
        <w:rPr>
          <w:rFonts w:ascii="PMingLiU" w:hAnsi="PMingLiU" w:cs="PMingLiU" w:hint="eastAsia"/>
        </w:rPr>
        <w:t>3.</w:t>
      </w:r>
      <w:r>
        <w:rPr>
          <w:rFonts w:ascii="PMingLiU" w:hAnsi="PMingLiU" w:cs="PMingLiU" w:hint="eastAsia"/>
        </w:rPr>
        <w:tab/>
        <w:t>本產品之維修保固期限應以</w:t>
      </w:r>
      <w:r>
        <w:rPr>
          <w:rFonts w:ascii="PMingLiU" w:hAnsi="PMingLiU" w:cs="PMingLiU" w:hint="eastAsia"/>
          <w:color w:val="000000"/>
        </w:rPr>
        <w:t>買方訂定</w:t>
      </w:r>
      <w:r>
        <w:rPr>
          <w:rFonts w:ascii="PMingLiU" w:hAnsi="PMingLiU" w:cs="PMingLiU" w:hint="eastAsia"/>
        </w:rPr>
        <w:t>之產品序號（MES）作為判定標準。</w:t>
      </w:r>
    </w:p>
    <w:p w14:paraId="34C6EE2D" w14:textId="77777777" w:rsidR="0090036A" w:rsidRDefault="00000000">
      <w:pPr>
        <w:tabs>
          <w:tab w:val="left" w:pos="854"/>
        </w:tabs>
        <w:spacing w:line="360" w:lineRule="exact"/>
        <w:ind w:leftChars="222" w:left="540" w:hangingChars="3" w:hanging="7"/>
        <w:rPr>
          <w:rFonts w:ascii="PMingLiU" w:hAnsi="PMingLiU" w:cs="PMingLiU"/>
          <w:kern w:val="0"/>
        </w:rPr>
      </w:pPr>
      <w:r>
        <w:rPr>
          <w:rFonts w:ascii="PMingLiU" w:hAnsi="PMingLiU" w:cs="PMingLiU" w:hint="eastAsia"/>
          <w:bCs/>
        </w:rPr>
        <w:t>4.</w:t>
      </w:r>
      <w:r>
        <w:rPr>
          <w:rFonts w:ascii="PMingLiU" w:hAnsi="PMingLiU" w:cs="PMingLiU" w:hint="eastAsia"/>
          <w:bCs/>
        </w:rPr>
        <w:tab/>
      </w:r>
      <w:r>
        <w:rPr>
          <w:rFonts w:ascii="PMingLiU" w:hAnsi="PMingLiU" w:cs="PMingLiU" w:hint="eastAsia"/>
        </w:rPr>
        <w:t>如</w:t>
      </w:r>
      <w:r>
        <w:rPr>
          <w:rFonts w:ascii="PMingLiU" w:hAnsi="PMingLiU" w:cs="PMingLiU" w:hint="eastAsia"/>
          <w:kern w:val="0"/>
        </w:rPr>
        <w:t>遇特殊案例(如品質異常)</w:t>
      </w:r>
      <w:r>
        <w:rPr>
          <w:rFonts w:ascii="PMingLiU" w:hAnsi="PMingLiU" w:cs="PMingLiU" w:hint="eastAsia"/>
        </w:rPr>
        <w:t>，供應商</w:t>
      </w:r>
      <w:r>
        <w:rPr>
          <w:rFonts w:ascii="PMingLiU" w:hAnsi="PMingLiU" w:cs="PMingLiU" w:hint="eastAsia"/>
          <w:kern w:val="0"/>
        </w:rPr>
        <w:t>應盡力配合</w:t>
      </w:r>
      <w:r>
        <w:rPr>
          <w:rFonts w:ascii="PMingLiU" w:hAnsi="PMingLiU" w:cs="PMingLiU" w:hint="eastAsia"/>
        </w:rPr>
        <w:t>買方要求之完修日期，</w:t>
      </w:r>
      <w:r>
        <w:rPr>
          <w:rFonts w:ascii="PMingLiU" w:hAnsi="PMingLiU" w:cs="PMingLiU" w:hint="eastAsia"/>
          <w:kern w:val="0"/>
        </w:rPr>
        <w:t>加速退修作業流程。</w:t>
      </w:r>
    </w:p>
    <w:p w14:paraId="4EABF649" w14:textId="77777777" w:rsidR="0090036A" w:rsidRDefault="00000000">
      <w:pPr>
        <w:tabs>
          <w:tab w:val="left" w:pos="896"/>
        </w:tabs>
        <w:spacing w:line="360" w:lineRule="exact"/>
        <w:ind w:leftChars="200" w:left="480" w:firstLineChars="25" w:firstLine="60"/>
        <w:rPr>
          <w:rFonts w:ascii="PMingLiU" w:hAnsi="PMingLiU" w:cs="PMingLiU"/>
          <w:bCs/>
        </w:rPr>
      </w:pPr>
      <w:r>
        <w:rPr>
          <w:rFonts w:ascii="PMingLiU" w:hAnsi="PMingLiU" w:cs="PMingLiU" w:hint="eastAsia"/>
          <w:bCs/>
        </w:rPr>
        <w:t>5. 人為損害報價判定標準：</w:t>
      </w:r>
    </w:p>
    <w:p w14:paraId="3614225D" w14:textId="77777777" w:rsidR="0090036A" w:rsidRDefault="00000000">
      <w:pPr>
        <w:tabs>
          <w:tab w:val="left" w:pos="480"/>
        </w:tabs>
        <w:spacing w:line="360" w:lineRule="exact"/>
        <w:ind w:leftChars="300" w:left="960" w:hangingChars="100" w:hanging="240"/>
        <w:jc w:val="both"/>
        <w:rPr>
          <w:rFonts w:ascii="PMingLiU" w:hAnsi="PMingLiU" w:cs="PMingLiU"/>
        </w:rPr>
      </w:pPr>
      <w:r>
        <w:rPr>
          <w:rFonts w:ascii="PMingLiU" w:hAnsi="PMingLiU" w:cs="PMingLiU" w:hint="eastAsia"/>
        </w:rPr>
        <w:t>(1)因人為損害導致本產品發生故障者，買方得要求供應商維修或以等同交付新品的方式處理，但供應商得收取必要之費用，供應商應於接獲買方通知之日起</w:t>
      </w:r>
      <w:r>
        <w:rPr>
          <w:rFonts w:ascii="PMingLiU" w:hAnsi="PMingLiU" w:cs="PMingLiU" w:hint="eastAsia"/>
          <w:color w:val="FF0000"/>
          <w:u w:val="single"/>
        </w:rPr>
        <w:t>3</w:t>
      </w:r>
      <w:r>
        <w:rPr>
          <w:rFonts w:ascii="PMingLiU" w:hAnsi="PMingLiU" w:cs="PMingLiU" w:hint="eastAsia"/>
        </w:rPr>
        <w:t>個工作天內提供報價，供消費者決定是否維修或更換故障品。</w:t>
      </w:r>
    </w:p>
    <w:p w14:paraId="3D772D71" w14:textId="77777777" w:rsidR="0090036A" w:rsidRDefault="00000000">
      <w:pPr>
        <w:tabs>
          <w:tab w:val="left" w:pos="480"/>
        </w:tabs>
        <w:spacing w:line="360" w:lineRule="exact"/>
        <w:ind w:leftChars="300" w:left="960" w:hangingChars="100" w:hanging="240"/>
        <w:jc w:val="both"/>
        <w:rPr>
          <w:rFonts w:ascii="PMingLiU" w:hAnsi="PMingLiU" w:cs="PMingLiU"/>
        </w:rPr>
      </w:pPr>
      <w:r>
        <w:rPr>
          <w:rFonts w:ascii="PMingLiU" w:hAnsi="PMingLiU" w:cs="PMingLiU" w:hint="eastAsia"/>
        </w:rPr>
        <w:t>(2)本產品之故障是否由於人為損害所造成，應由買方進行認定。如供應商對買方認定之結果有異議者，供應商應提供可茲佐證之相關圖片或資料供買方參考。</w:t>
      </w:r>
    </w:p>
    <w:p>
      <w:r>
        <w:rPr>
          <w:b/>
          <w:color w:val="C00000"/>
          <w:highlight w:val="yellow"/>
          <w:rFonts w:eastAsia="標楷體"/>
        </w:rPr>
        <w:t>【補充條款 4】</w:t>
      </w:r>
      <w:r>
        <w:rPr>
          <w:color w:val="C00000"/>
          <w:rFonts w:eastAsia="標楷體"/>
        </w:rPr>
        <w:t>(對應第二條第5項(2)人為損害認定)供應商對買方認定結果有異議並提出佐證資料後,雙方應協商認定;協商不成者,得送交雙方合意之第三方公正檢測機構鑑定,鑑定結果對雙方均有拘束力,鑑定費用由經認定可歸責之一方負擔。</w:t>
      </w:r>
    </w:p>
    <w:p w14:paraId="201711DC" w14:textId="77777777" w:rsidR="0090036A" w:rsidRDefault="00000000">
      <w:pPr>
        <w:spacing w:beforeLines="100" w:before="312" w:afterLines="50" w:after="156" w:line="360" w:lineRule="exact"/>
        <w:ind w:leftChars="100" w:left="720" w:hangingChars="200" w:hanging="480"/>
        <w:rPr>
          <w:rFonts w:ascii="PMingLiU" w:hAnsi="PMingLiU" w:cs="PMingLiU"/>
          <w:b/>
        </w:rPr>
      </w:pPr>
      <w:r>
        <w:rPr>
          <w:rFonts w:ascii="PMingLiU" w:hAnsi="PMingLiU" w:cs="PMingLiU" w:hint="eastAsia"/>
          <w:b/>
        </w:rPr>
        <w:t>三、轉送作業</w:t>
      </w:r>
    </w:p>
    <w:p w14:paraId="3014D52D" w14:textId="77777777" w:rsidR="0090036A" w:rsidRDefault="00000000">
      <w:pPr>
        <w:tabs>
          <w:tab w:val="left" w:pos="720"/>
        </w:tabs>
        <w:spacing w:beforeLines="100" w:before="312" w:afterLines="50" w:after="156" w:line="360" w:lineRule="exact"/>
        <w:ind w:leftChars="200" w:left="720" w:hangingChars="100" w:hanging="240"/>
        <w:rPr>
          <w:rFonts w:ascii="PMingLiU" w:hAnsi="PMingLiU" w:cs="PMingLiU"/>
        </w:rPr>
      </w:pPr>
      <w:r>
        <w:rPr>
          <w:rFonts w:ascii="PMingLiU" w:hAnsi="PMingLiU" w:cs="PMingLiU" w:hint="eastAsia"/>
          <w:bCs/>
        </w:rPr>
        <w:t>1.聯絡窗口：下列為雙方負責退修作業與對帳事宜之聯絡窗口，如有變更，應即通知他方：</w:t>
      </w:r>
    </w:p>
    <w:tbl>
      <w:tblPr>
        <w:tblW w:w="7862" w:type="dxa"/>
        <w:tblInd w:w="981" w:type="dxa"/>
        <w:tblLayout w:type="fixed"/>
        <w:tblCellMar>
          <w:left w:w="28" w:type="dxa"/>
          <w:right w:w="28" w:type="dxa"/>
        </w:tblCellMar>
        <w:tblLook w:val="04A0" w:firstRow="1" w:lastRow="0" w:firstColumn="1" w:lastColumn="0" w:noHBand="0" w:noVBand="1"/>
      </w:tblPr>
      <w:tblGrid>
        <w:gridCol w:w="4087"/>
        <w:gridCol w:w="3775"/>
      </w:tblGrid>
      <w:tr w:rsidR="0090036A" w14:paraId="25E5ACE0" w14:textId="77777777">
        <w:trPr>
          <w:trHeight w:val="345"/>
        </w:trPr>
        <w:tc>
          <w:tcPr>
            <w:tcW w:w="4087" w:type="dxa"/>
            <w:tcBorders>
              <w:top w:val="single" w:sz="4" w:space="0" w:color="auto"/>
              <w:left w:val="single" w:sz="4" w:space="0" w:color="auto"/>
              <w:bottom w:val="single" w:sz="8" w:space="0" w:color="auto"/>
              <w:right w:val="single" w:sz="8" w:space="0" w:color="000000"/>
            </w:tcBorders>
            <w:noWrap/>
            <w:vAlign w:val="center"/>
          </w:tcPr>
          <w:p w14:paraId="2A42F84A" w14:textId="7777777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lastRenderedPageBreak/>
              <w:t>供應商</w:t>
            </w:r>
          </w:p>
        </w:tc>
        <w:tc>
          <w:tcPr>
            <w:tcW w:w="3775" w:type="dxa"/>
            <w:tcBorders>
              <w:top w:val="single" w:sz="4" w:space="0" w:color="auto"/>
              <w:left w:val="nil"/>
              <w:bottom w:val="single" w:sz="8" w:space="0" w:color="auto"/>
              <w:right w:val="single" w:sz="4" w:space="0" w:color="auto"/>
            </w:tcBorders>
            <w:noWrap/>
            <w:vAlign w:val="center"/>
          </w:tcPr>
          <w:p w14:paraId="663BF9A9" w14:textId="7777777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買方</w:t>
            </w:r>
          </w:p>
        </w:tc>
      </w:tr>
      <w:tr w:rsidR="0090036A" w14:paraId="5630C3A4" w14:textId="77777777">
        <w:trPr>
          <w:trHeight w:val="380"/>
        </w:trPr>
        <w:tc>
          <w:tcPr>
            <w:tcW w:w="4087" w:type="dxa"/>
            <w:tcBorders>
              <w:top w:val="single" w:sz="8" w:space="0" w:color="auto"/>
              <w:left w:val="single" w:sz="4" w:space="0" w:color="auto"/>
              <w:bottom w:val="single" w:sz="8" w:space="0" w:color="auto"/>
              <w:right w:val="nil"/>
            </w:tcBorders>
            <w:noWrap/>
            <w:vAlign w:val="center"/>
          </w:tcPr>
          <w:p w14:paraId="7725D71A" w14:textId="77777777" w:rsidR="0090036A" w:rsidRDefault="00000000">
            <w:pPr>
              <w:widowControl/>
              <w:spacing w:line="360" w:lineRule="exact"/>
              <w:jc w:val="both"/>
              <w:rPr>
                <w:rFonts w:ascii="PMingLiU" w:hAnsi="PMingLiU" w:cs="PMingLiU"/>
                <w:kern w:val="0"/>
              </w:rPr>
            </w:pPr>
            <w:r>
              <w:rPr>
                <w:rFonts w:ascii="PMingLiU" w:hAnsi="PMingLiU" w:cs="PMingLiU" w:hint="eastAsia"/>
                <w:kern w:val="0"/>
              </w:rPr>
              <w:t xml:space="preserve"> 公司名稱：</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kern w:val="0"/>
              </w:rPr>
              <w:t xml:space="preserve"> </w:t>
            </w:r>
          </w:p>
        </w:tc>
        <w:tc>
          <w:tcPr>
            <w:tcW w:w="3775" w:type="dxa"/>
            <w:tcBorders>
              <w:top w:val="single" w:sz="8" w:space="0" w:color="auto"/>
              <w:left w:val="single" w:sz="8" w:space="0" w:color="auto"/>
              <w:bottom w:val="single" w:sz="8" w:space="0" w:color="auto"/>
              <w:right w:val="single" w:sz="4" w:space="0" w:color="auto"/>
            </w:tcBorders>
            <w:noWrap/>
            <w:vAlign w:val="center"/>
          </w:tcPr>
          <w:p w14:paraId="01B9F676" w14:textId="3AE9ADE9" w:rsidR="0090036A" w:rsidRDefault="00000000">
            <w:pPr>
              <w:widowControl/>
              <w:spacing w:line="360" w:lineRule="exact"/>
              <w:ind w:leftChars="50" w:left="120"/>
              <w:rPr>
                <w:rFonts w:ascii="PMingLiU" w:hAnsi="PMingLiU" w:cs="PMingLiU"/>
                <w:kern w:val="0"/>
              </w:rPr>
            </w:pPr>
            <w:r>
              <w:rPr>
                <w:rFonts w:ascii="PMingLiU" w:hAnsi="PMingLiU" w:cs="PMingLiU" w:hint="eastAsia"/>
              </w:rPr>
              <w:t>公司名稱：</w:t>
            </w:r>
            <w:r w:rsidR="00675197" w:rsidRPr="00675197">
              <w:rPr>
                <w:rFonts w:ascii="PMingLiU" w:hAnsi="PMingLiU" w:cs="PMingLiU"/>
                <w:color w:val="000000"/>
                <w:spacing w:val="-3"/>
                <w:sz w:val="21"/>
                <w:szCs w:val="21"/>
              </w:rPr>
              <w:t>上海标竿信息科技有限公司</w:t>
            </w:r>
            <w:r w:rsidR="009A7620" w:rsidRPr="00675197">
              <w:rPr>
                <w:rFonts w:ascii="PMingLiU" w:hAnsi="PMingLiU" w:cs="PMingLiU" w:hint="eastAsia"/>
                <w:color w:val="000000"/>
                <w:sz w:val="21"/>
                <w:szCs w:val="21"/>
              </w:rPr>
              <w:t xml:space="preserve">       </w:t>
            </w:r>
            <w:r w:rsidR="009A7620">
              <w:rPr>
                <w:rFonts w:ascii="PMingLiU" w:hAnsi="PMingLiU" w:cs="PMingLiU" w:hint="eastAsia"/>
                <w:color w:val="000000"/>
              </w:rPr>
              <w:t xml:space="preserve">    </w:t>
            </w:r>
          </w:p>
        </w:tc>
      </w:tr>
      <w:tr w:rsidR="0090036A" w14:paraId="587DFE89" w14:textId="77777777">
        <w:trPr>
          <w:trHeight w:val="356"/>
        </w:trPr>
        <w:tc>
          <w:tcPr>
            <w:tcW w:w="4087" w:type="dxa"/>
            <w:tcBorders>
              <w:top w:val="single" w:sz="8" w:space="0" w:color="auto"/>
              <w:left w:val="single" w:sz="4" w:space="0" w:color="auto"/>
              <w:bottom w:val="single" w:sz="8" w:space="0" w:color="auto"/>
              <w:right w:val="nil"/>
            </w:tcBorders>
            <w:noWrap/>
            <w:vAlign w:val="center"/>
          </w:tcPr>
          <w:p w14:paraId="27CE3BF4" w14:textId="7777777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單位職稱：</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kern w:val="0"/>
              </w:rPr>
              <w:t xml:space="preserve">       </w:t>
            </w:r>
          </w:p>
        </w:tc>
        <w:tc>
          <w:tcPr>
            <w:tcW w:w="3775" w:type="dxa"/>
            <w:tcBorders>
              <w:top w:val="single" w:sz="8" w:space="0" w:color="auto"/>
              <w:left w:val="single" w:sz="8" w:space="0" w:color="auto"/>
              <w:bottom w:val="single" w:sz="8" w:space="0" w:color="auto"/>
              <w:right w:val="single" w:sz="4" w:space="0" w:color="auto"/>
            </w:tcBorders>
            <w:noWrap/>
            <w:vAlign w:val="center"/>
          </w:tcPr>
          <w:p w14:paraId="2DDED429" w14:textId="0EBF4C4E"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單位職稱：</w:t>
            </w:r>
            <w:r w:rsidR="009A7620">
              <w:rPr>
                <w:rFonts w:ascii="PMingLiU" w:hAnsi="PMingLiU" w:cs="PMingLiU" w:hint="eastAsia"/>
                <w:kern w:val="0"/>
                <w:lang w:eastAsia="zh-CN"/>
              </w:rPr>
              <w:t>總</w:t>
            </w:r>
            <w:r w:rsidR="009A7620">
              <w:rPr>
                <w:rFonts w:ascii="PMingLiU" w:hAnsi="PMingLiU" w:cs="PMingLiU" w:hint="eastAsia"/>
                <w:kern w:val="0"/>
              </w:rPr>
              <w:t>經</w:t>
            </w:r>
            <w:r w:rsidR="009A7620">
              <w:rPr>
                <w:rFonts w:ascii="PMingLiU" w:hAnsi="PMingLiU" w:cs="PMingLiU" w:hint="eastAsia"/>
                <w:kern w:val="0"/>
                <w:lang w:eastAsia="zh-CN"/>
              </w:rPr>
              <w:t>理</w:t>
            </w:r>
          </w:p>
        </w:tc>
      </w:tr>
      <w:tr w:rsidR="0090036A" w14:paraId="5B089DFE" w14:textId="77777777">
        <w:trPr>
          <w:trHeight w:val="360"/>
        </w:trPr>
        <w:tc>
          <w:tcPr>
            <w:tcW w:w="4087" w:type="dxa"/>
            <w:tcBorders>
              <w:top w:val="single" w:sz="8" w:space="0" w:color="auto"/>
              <w:left w:val="single" w:sz="4" w:space="0" w:color="auto"/>
              <w:bottom w:val="single" w:sz="8" w:space="0" w:color="auto"/>
              <w:right w:val="single" w:sz="8" w:space="0" w:color="000000"/>
            </w:tcBorders>
            <w:noWrap/>
          </w:tcPr>
          <w:p w14:paraId="749ABF35" w14:textId="7777777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代表：</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kern w:val="0"/>
              </w:rPr>
              <w:t xml:space="preserve">   </w:t>
            </w:r>
          </w:p>
        </w:tc>
        <w:tc>
          <w:tcPr>
            <w:tcW w:w="3775" w:type="dxa"/>
            <w:tcBorders>
              <w:top w:val="single" w:sz="8" w:space="0" w:color="auto"/>
              <w:left w:val="nil"/>
              <w:bottom w:val="single" w:sz="8" w:space="0" w:color="auto"/>
              <w:right w:val="single" w:sz="4" w:space="0" w:color="auto"/>
            </w:tcBorders>
            <w:noWrap/>
          </w:tcPr>
          <w:p w14:paraId="6FA6549A" w14:textId="73E3C55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代表：</w:t>
            </w:r>
            <w:r w:rsidR="009A7620">
              <w:rPr>
                <w:rFonts w:ascii="PMingLiU" w:hAnsi="PMingLiU" w:cs="PMingLiU" w:hint="eastAsia"/>
                <w:kern w:val="0"/>
              </w:rPr>
              <w:t>程</w:t>
            </w:r>
            <w:r w:rsidR="009A7620">
              <w:rPr>
                <w:rFonts w:ascii="PMingLiU" w:hAnsi="PMingLiU" w:cs="PMingLiU" w:hint="eastAsia"/>
                <w:kern w:val="0"/>
                <w:lang w:eastAsia="zh-CN"/>
              </w:rPr>
              <w:t>應龍</w:t>
            </w:r>
          </w:p>
        </w:tc>
      </w:tr>
      <w:tr w:rsidR="0090036A" w14:paraId="730EBE0C" w14:textId="77777777">
        <w:trPr>
          <w:trHeight w:val="372"/>
        </w:trPr>
        <w:tc>
          <w:tcPr>
            <w:tcW w:w="4087" w:type="dxa"/>
            <w:tcBorders>
              <w:top w:val="single" w:sz="8" w:space="0" w:color="auto"/>
              <w:left w:val="single" w:sz="4" w:space="0" w:color="auto"/>
              <w:bottom w:val="single" w:sz="8" w:space="0" w:color="auto"/>
              <w:right w:val="nil"/>
            </w:tcBorders>
            <w:noWrap/>
            <w:vAlign w:val="center"/>
          </w:tcPr>
          <w:p w14:paraId="74A1F176" w14:textId="7777777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電話：</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kern w:val="0"/>
              </w:rPr>
              <w:t xml:space="preserve">   </w:t>
            </w:r>
          </w:p>
        </w:tc>
        <w:tc>
          <w:tcPr>
            <w:tcW w:w="3775" w:type="dxa"/>
            <w:tcBorders>
              <w:top w:val="single" w:sz="8" w:space="0" w:color="auto"/>
              <w:left w:val="single" w:sz="8" w:space="0" w:color="auto"/>
              <w:bottom w:val="single" w:sz="8" w:space="0" w:color="auto"/>
              <w:right w:val="single" w:sz="4" w:space="0" w:color="auto"/>
            </w:tcBorders>
            <w:noWrap/>
            <w:vAlign w:val="center"/>
          </w:tcPr>
          <w:p w14:paraId="03B9340E" w14:textId="70E758A7" w:rsidR="0090036A" w:rsidRDefault="00000000">
            <w:pPr>
              <w:widowControl/>
              <w:spacing w:line="360" w:lineRule="exact"/>
              <w:ind w:leftChars="50" w:left="120"/>
              <w:rPr>
                <w:rFonts w:ascii="PMingLiU" w:hAnsi="PMingLiU" w:cs="PMingLiU"/>
                <w:kern w:val="0"/>
              </w:rPr>
            </w:pPr>
            <w:r>
              <w:rPr>
                <w:rFonts w:ascii="PMingLiU" w:hAnsi="PMingLiU" w:cs="PMingLiU" w:hint="eastAsia"/>
                <w:kern w:val="0"/>
              </w:rPr>
              <w:t>電話：</w:t>
            </w:r>
            <w:r w:rsidR="009A7620">
              <w:rPr>
                <w:rFonts w:ascii="PMingLiU" w:hAnsi="PMingLiU" w:cs="PMingLiU" w:hint="eastAsia"/>
                <w:kern w:val="0"/>
                <w:lang w:eastAsia="zh-CN"/>
              </w:rPr>
              <w:t>02-27118838</w:t>
            </w:r>
          </w:p>
        </w:tc>
      </w:tr>
    </w:tbl>
    <w:p w14:paraId="179DBEB5" w14:textId="77777777" w:rsidR="0090036A" w:rsidRDefault="0090036A">
      <w:pPr>
        <w:spacing w:line="360" w:lineRule="exact"/>
        <w:jc w:val="both"/>
        <w:rPr>
          <w:rFonts w:ascii="PMingLiU" w:hAnsi="PMingLiU" w:cs="PMingLiU"/>
        </w:rPr>
      </w:pPr>
    </w:p>
    <w:p w14:paraId="19A9F242" w14:textId="77777777" w:rsidR="0090036A" w:rsidRDefault="00000000">
      <w:pPr>
        <w:spacing w:line="360" w:lineRule="exact"/>
        <w:jc w:val="both"/>
        <w:rPr>
          <w:rFonts w:ascii="PMingLiU" w:hAnsi="PMingLiU" w:cs="PMingLiU"/>
        </w:rPr>
      </w:pPr>
      <w:r>
        <w:rPr>
          <w:rFonts w:ascii="PMingLiU" w:hAnsi="PMingLiU" w:cs="PMingLiU" w:hint="eastAsia"/>
        </w:rPr>
        <w:t xml:space="preserve">    2.  轉送費用及風險之承擔</w:t>
      </w:r>
    </w:p>
    <w:p w14:paraId="27BF92EA" w14:textId="77777777" w:rsidR="0090036A" w:rsidRDefault="00000000">
      <w:pPr>
        <w:spacing w:line="360" w:lineRule="exact"/>
        <w:ind w:left="960" w:hangingChars="400" w:hanging="960"/>
        <w:jc w:val="both"/>
        <w:rPr>
          <w:rFonts w:ascii="PMingLiU" w:hAnsi="PMingLiU" w:cs="PMingLiU"/>
        </w:rPr>
      </w:pPr>
      <w:r>
        <w:rPr>
          <w:rFonts w:ascii="PMingLiU" w:hAnsi="PMingLiU" w:cs="PMingLiU" w:hint="eastAsia"/>
        </w:rPr>
        <w:t xml:space="preserve">        故障品於供應商簽收前所衍生之物流費用及風險由買方負擔；完修品或整新品於買方或買方指定之第三人簽收前所衍生之物流費用及風險由供應商負擔。</w:t>
      </w:r>
    </w:p>
    <w:p w14:paraId="7B73D2AD" w14:textId="77777777" w:rsidR="0090036A" w:rsidRDefault="00000000">
      <w:pPr>
        <w:spacing w:beforeLines="100" w:before="312" w:afterLines="50" w:after="156" w:line="360" w:lineRule="exact"/>
        <w:rPr>
          <w:rFonts w:ascii="PMingLiU" w:hAnsi="PMingLiU" w:cs="PMingLiU"/>
        </w:rPr>
      </w:pPr>
      <w:r>
        <w:rPr>
          <w:rFonts w:ascii="PMingLiU" w:hAnsi="PMingLiU" w:cs="PMingLiU" w:hint="eastAsia"/>
          <w:b/>
        </w:rPr>
        <w:t>四、維修備品提供方式：</w:t>
      </w:r>
    </w:p>
    <w:p w14:paraId="2566357A" w14:textId="77777777" w:rsidR="0090036A" w:rsidRDefault="00000000">
      <w:pPr>
        <w:spacing w:line="360" w:lineRule="exact"/>
        <w:ind w:leftChars="200" w:left="840" w:hangingChars="150" w:hanging="360"/>
        <w:jc w:val="both"/>
        <w:rPr>
          <w:rFonts w:ascii="PMingLiU" w:hAnsi="PMingLiU" w:cs="PMingLiU"/>
        </w:rPr>
      </w:pPr>
      <w:r>
        <w:rPr>
          <w:rFonts w:ascii="PMingLiU" w:hAnsi="PMingLiU" w:cs="PMingLiU" w:hint="eastAsia"/>
        </w:rPr>
        <w:t>1. 無償備品：供應商同意於每批進貨時無償提供進貨數量1%且不低於3pcs之成品及30pcs之整套包裝材料，供買方作為維修備品使用。</w:t>
      </w:r>
    </w:p>
    <w:p w14:paraId="5D1E621C" w14:textId="77777777" w:rsidR="0090036A" w:rsidRDefault="00000000">
      <w:pPr>
        <w:spacing w:line="360" w:lineRule="exact"/>
        <w:ind w:leftChars="200" w:left="840" w:hangingChars="150" w:hanging="360"/>
        <w:jc w:val="both"/>
        <w:rPr>
          <w:rFonts w:ascii="PMingLiU" w:hAnsi="PMingLiU" w:cs="PMingLiU"/>
          <w:color w:val="FF0000"/>
        </w:rPr>
      </w:pPr>
      <w:r>
        <w:rPr>
          <w:rFonts w:ascii="PMingLiU" w:hAnsi="PMingLiU" w:cs="PMingLiU" w:hint="eastAsia"/>
        </w:rPr>
        <w:t xml:space="preserve">2. </w:t>
      </w:r>
      <w:r>
        <w:rPr>
          <w:rFonts w:ascii="PMingLiU" w:hAnsi="PMingLiU" w:cs="PMingLiU" w:hint="eastAsia"/>
          <w:color w:val="FF0000"/>
        </w:rPr>
        <w:t>當本產品的不良率大於1%或發生傾向性不良時，供應商應於</w:t>
      </w:r>
      <w:r>
        <w:rPr>
          <w:rFonts w:ascii="PMingLiU" w:hAnsi="PMingLiU" w:cs="PMingLiU" w:hint="eastAsia"/>
          <w:color w:val="FF0000"/>
          <w:u w:val="single"/>
        </w:rPr>
        <w:t xml:space="preserve">   </w:t>
      </w:r>
      <w:r>
        <w:rPr>
          <w:rFonts w:ascii="PMingLiU" w:hAnsi="PMingLiU" w:cs="PMingLiU" w:hint="eastAsia"/>
          <w:color w:val="FF0000"/>
        </w:rPr>
        <w:t>個工作天內提供分析報告與解決對策，同時供應商同意買方有權主張全數退貨退款、要求供應商全數召回更換為無瑕疵新品，其產生之相關拆解、重新組裝及物流費用由供應商負擔。</w:t>
      </w:r>
    </w:p>
    <w:p>
      <w:r>
        <w:rPr>
          <w:b/>
          <w:color w:val="C00000"/>
          <w:highlight w:val="yellow"/>
          <w:rFonts w:eastAsia="標楷體"/>
        </w:rPr>
        <w:t>【補充條款 5】</w:t>
      </w:r>
      <w:r>
        <w:rPr>
          <w:color w:val="C00000"/>
          <w:rFonts w:eastAsia="標楷體"/>
        </w:rPr>
        <w:t>(對應第四條第2項批次不良處理)「傾向性不良」以經雙方確認源自同一根本原因之批次性不良為限;買方主張全數退貨退款或全數召回者,其範圍以受同一根本原因影響之批次為限。分析報告與解決對策之提供期限建議為七(7)個工作天(待雙方議定)。</w:t>
      </w:r>
    </w:p>
    <w:p w14:paraId="71A6AF60" w14:textId="77777777" w:rsidR="0090036A" w:rsidRDefault="00000000">
      <w:pPr>
        <w:widowControl/>
        <w:spacing w:line="360" w:lineRule="exact"/>
        <w:ind w:firstLineChars="200" w:firstLine="480"/>
        <w:jc w:val="both"/>
        <w:rPr>
          <w:rFonts w:ascii="PMingLiU" w:hAnsi="PMingLiU" w:cs="PMingLiU"/>
          <w:kern w:val="0"/>
        </w:rPr>
      </w:pPr>
      <w:r>
        <w:rPr>
          <w:rFonts w:ascii="PMingLiU" w:hAnsi="PMingLiU" w:cs="PMingLiU" w:hint="eastAsia"/>
        </w:rPr>
        <w:t>3. 不良率(含新品)＝當年度累計故障量÷當年度出貨量× 100％。</w:t>
      </w:r>
    </w:p>
    <w:p w14:paraId="22A2E299" w14:textId="77777777" w:rsidR="0090036A" w:rsidRDefault="00000000">
      <w:pPr>
        <w:spacing w:beforeLines="100" w:before="312" w:afterLines="50" w:after="156" w:line="360" w:lineRule="exact"/>
        <w:rPr>
          <w:rFonts w:ascii="PMingLiU" w:hAnsi="PMingLiU" w:cs="PMingLiU"/>
          <w:b/>
        </w:rPr>
      </w:pPr>
      <w:r>
        <w:rPr>
          <w:rFonts w:ascii="PMingLiU" w:hAnsi="PMingLiU" w:cs="PMingLiU" w:hint="eastAsia"/>
          <w:b/>
        </w:rPr>
        <w:t>五、技術支援</w:t>
      </w:r>
    </w:p>
    <w:p w14:paraId="5DDBD0A3" w14:textId="77777777" w:rsidR="0090036A" w:rsidRDefault="00000000">
      <w:pPr>
        <w:numPr>
          <w:ilvl w:val="0"/>
          <w:numId w:val="2"/>
        </w:numPr>
        <w:tabs>
          <w:tab w:val="clear" w:pos="900"/>
          <w:tab w:val="left" w:pos="854"/>
        </w:tabs>
        <w:spacing w:line="360" w:lineRule="exact"/>
        <w:ind w:hanging="424"/>
        <w:rPr>
          <w:rFonts w:ascii="PMingLiU" w:hAnsi="PMingLiU" w:cs="PMingLiU"/>
        </w:rPr>
      </w:pPr>
      <w:r>
        <w:rPr>
          <w:rFonts w:ascii="PMingLiU" w:hAnsi="PMingLiU" w:cs="PMingLiU" w:hint="eastAsia"/>
          <w:kern w:val="0"/>
        </w:rPr>
        <w:t>供應商</w:t>
      </w:r>
      <w:r>
        <w:rPr>
          <w:rFonts w:ascii="PMingLiU" w:hAnsi="PMingLiU" w:cs="PMingLiU" w:hint="eastAsia"/>
        </w:rPr>
        <w:t>應安排技術支援人員，擔任本產品相關問題之回饋窗口。</w:t>
      </w:r>
    </w:p>
    <w:p w14:paraId="54DFDAE0" w14:textId="77777777" w:rsidR="0090036A" w:rsidRDefault="00000000">
      <w:pPr>
        <w:numPr>
          <w:ilvl w:val="0"/>
          <w:numId w:val="2"/>
        </w:numPr>
        <w:tabs>
          <w:tab w:val="clear" w:pos="900"/>
          <w:tab w:val="left" w:pos="868"/>
        </w:tabs>
        <w:spacing w:line="360" w:lineRule="exact"/>
        <w:ind w:hanging="424"/>
        <w:rPr>
          <w:rFonts w:ascii="PMingLiU" w:hAnsi="PMingLiU" w:cs="PMingLiU"/>
        </w:rPr>
      </w:pPr>
      <w:r>
        <w:rPr>
          <w:rFonts w:ascii="PMingLiU" w:hAnsi="PMingLiU" w:cs="PMingLiU" w:hint="eastAsia"/>
          <w:kern w:val="0"/>
        </w:rPr>
        <w:t>供應商</w:t>
      </w:r>
      <w:r>
        <w:rPr>
          <w:rFonts w:ascii="PMingLiU" w:hAnsi="PMingLiU" w:cs="PMingLiU" w:hint="eastAsia"/>
        </w:rPr>
        <w:t>應視本產品之特性，無償協助買方</w:t>
      </w:r>
      <w:r>
        <w:rPr>
          <w:rFonts w:ascii="PMingLiU" w:hAnsi="PMingLiU" w:cs="PMingLiU" w:hint="eastAsia"/>
          <w:kern w:val="0"/>
        </w:rPr>
        <w:t>進行</w:t>
      </w:r>
      <w:r>
        <w:rPr>
          <w:rFonts w:ascii="PMingLiU" w:hAnsi="PMingLiU" w:cs="PMingLiU" w:hint="eastAsia"/>
        </w:rPr>
        <w:t>本產品之教育訓練等事宜。</w:t>
      </w:r>
    </w:p>
    <w:p w14:paraId="2ADC9F2A" w14:textId="77777777" w:rsidR="0090036A" w:rsidRDefault="00000000">
      <w:pPr>
        <w:numPr>
          <w:ilvl w:val="0"/>
          <w:numId w:val="2"/>
        </w:numPr>
        <w:tabs>
          <w:tab w:val="clear" w:pos="900"/>
          <w:tab w:val="left" w:pos="868"/>
        </w:tabs>
        <w:spacing w:line="360" w:lineRule="exact"/>
        <w:ind w:hanging="424"/>
        <w:rPr>
          <w:rFonts w:ascii="PMingLiU" w:hAnsi="PMingLiU" w:cs="PMingLiU"/>
        </w:rPr>
      </w:pPr>
      <w:r>
        <w:rPr>
          <w:rFonts w:ascii="PMingLiU" w:hAnsi="PMingLiU" w:cs="PMingLiU" w:hint="eastAsia"/>
        </w:rPr>
        <w:t>供應商應依買方之要求定期提供相關產品資訊通報給買方技術應用單位。</w:t>
      </w:r>
    </w:p>
    <w:p w14:paraId="6CD2D54A" w14:textId="77777777" w:rsidR="0090036A" w:rsidRDefault="00000000">
      <w:pPr>
        <w:numPr>
          <w:ilvl w:val="0"/>
          <w:numId w:val="3"/>
        </w:numPr>
        <w:spacing w:beforeLines="100" w:before="312" w:afterLines="50" w:after="156" w:line="360" w:lineRule="exact"/>
        <w:rPr>
          <w:rFonts w:ascii="PMingLiU" w:hAnsi="PMingLiU" w:cs="PMingLiU"/>
          <w:b/>
        </w:rPr>
      </w:pPr>
      <w:r>
        <w:rPr>
          <w:rFonts w:ascii="PMingLiU" w:hAnsi="PMingLiU" w:cs="PMingLiU" w:hint="eastAsia"/>
          <w:b/>
        </w:rPr>
        <w:t>客訴處理時程</w:t>
      </w:r>
    </w:p>
    <w:p w14:paraId="6F4D5936" w14:textId="77777777" w:rsidR="0090036A" w:rsidRDefault="00000000">
      <w:pPr>
        <w:numPr>
          <w:ilvl w:val="0"/>
          <w:numId w:val="4"/>
        </w:numPr>
        <w:spacing w:line="360" w:lineRule="exact"/>
        <w:ind w:hanging="424"/>
        <w:rPr>
          <w:rFonts w:ascii="PMingLiU" w:hAnsi="PMingLiU" w:cs="PMingLiU"/>
          <w:kern w:val="0"/>
        </w:rPr>
      </w:pPr>
      <w:r>
        <w:rPr>
          <w:rFonts w:ascii="PMingLiU" w:hAnsi="PMingLiU" w:cs="PMingLiU" w:hint="eastAsia"/>
          <w:kern w:val="0"/>
        </w:rPr>
        <w:t>若消費者對本產品售後服務提客訴，供應商應自接獲通知日起</w:t>
      </w:r>
      <w:r>
        <w:rPr>
          <w:rFonts w:ascii="PMingLiU" w:hAnsi="PMingLiU" w:cs="PMingLiU" w:hint="eastAsia"/>
          <w:color w:val="FF0000"/>
          <w:kern w:val="0"/>
          <w:u w:val="single"/>
        </w:rPr>
        <w:t xml:space="preserve">  </w:t>
      </w:r>
      <w:r>
        <w:rPr>
          <w:rFonts w:ascii="PMingLiU" w:hAnsi="PMingLiU" w:cs="PMingLiU" w:hint="eastAsia"/>
          <w:kern w:val="0"/>
        </w:rPr>
        <w:t>個工作天內提供分析報告。</w:t>
      </w:r>
    </w:p>
    <w:p w14:paraId="05646B06" w14:textId="77777777" w:rsidR="0090036A" w:rsidRDefault="00000000">
      <w:pPr>
        <w:numPr>
          <w:ilvl w:val="0"/>
          <w:numId w:val="4"/>
        </w:numPr>
        <w:spacing w:line="360" w:lineRule="exact"/>
        <w:ind w:hanging="424"/>
        <w:rPr>
          <w:rFonts w:ascii="PMingLiU" w:hAnsi="PMingLiU" w:cs="PMingLiU"/>
          <w:kern w:val="0"/>
        </w:rPr>
      </w:pPr>
      <w:r>
        <w:rPr>
          <w:rFonts w:ascii="PMingLiU" w:hAnsi="PMingLiU" w:cs="PMingLiU" w:hint="eastAsia"/>
          <w:kern w:val="0"/>
        </w:rPr>
        <w:t>如遇嚴重客訴情形，供應商應自接獲通知日起</w:t>
      </w:r>
      <w:r>
        <w:rPr>
          <w:rFonts w:ascii="PMingLiU" w:hAnsi="PMingLiU" w:cs="PMingLiU" w:hint="eastAsia"/>
          <w:color w:val="FF0000"/>
          <w:kern w:val="0"/>
          <w:u w:val="single"/>
        </w:rPr>
        <w:t xml:space="preserve">  </w:t>
      </w:r>
      <w:r>
        <w:rPr>
          <w:rFonts w:ascii="PMingLiU" w:hAnsi="PMingLiU" w:cs="PMingLiU" w:hint="eastAsia"/>
          <w:kern w:val="0"/>
        </w:rPr>
        <w:t>個工作天內以8D Report方式回覆買方。</w:t>
      </w:r>
    </w:p>
    <w:p>
      <w:r>
        <w:rPr>
          <w:b/>
          <w:color w:val="C00000"/>
          <w:highlight w:val="yellow"/>
          <w:rFonts w:eastAsia="標楷體"/>
        </w:rPr>
        <w:t>【補充條款 6】</w:t>
      </w:r>
      <w:r>
        <w:rPr>
          <w:color w:val="C00000"/>
          <w:rFonts w:eastAsia="標楷體"/>
        </w:rPr>
        <w:t>(對應第六條客訴處理時程)(建議,待雙方議定)一般客訴分析報告之提供期限建議為七(7)個工作天;嚴重客訴之8D Report回覆期限建議為五(5)個工作天。</w:t>
      </w:r>
    </w:p>
    <w:p w14:paraId="786A8923" w14:textId="77777777" w:rsidR="0090036A" w:rsidRDefault="0090036A">
      <w:pPr>
        <w:spacing w:line="360" w:lineRule="exact"/>
        <w:ind w:right="-365"/>
        <w:rPr>
          <w:rFonts w:ascii="PMingLiU" w:hAnsi="PMingLiU" w:cs="PMingLiU"/>
        </w:rPr>
      </w:pPr>
    </w:p>
    <w:p w14:paraId="2A1BFA41" w14:textId="77777777" w:rsidR="0090036A" w:rsidRDefault="0090036A">
      <w:pPr>
        <w:spacing w:line="360" w:lineRule="exact"/>
        <w:rPr>
          <w:rFonts w:ascii="PMingLiU" w:hAnsi="PMingLiU" w:cs="PMingLiU"/>
        </w:rPr>
      </w:pPr>
    </w:p>
    <w:p w14:paraId="0E5C50BB" w14:textId="77777777" w:rsidR="0090036A" w:rsidRDefault="00000000">
      <w:pPr>
        <w:spacing w:line="360" w:lineRule="exact"/>
        <w:rPr>
          <w:rFonts w:ascii="PMingLiU" w:hAnsi="PMingLiU" w:cs="PMingLiU"/>
        </w:rPr>
      </w:pPr>
      <w:r>
        <w:rPr>
          <w:rFonts w:ascii="PMingLiU" w:hAnsi="PMingLiU" w:cs="PMingLiU" w:hint="eastAsia"/>
        </w:rPr>
        <w:t>供應商：</w:t>
      </w:r>
      <w:r>
        <w:rPr>
          <w:rFonts w:ascii="PMingLiU" w:hAnsi="PMingLiU" w:cs="PMingLiU" w:hint="eastAsia"/>
        </w:rPr>
        <w:fldChar w:fldCharType="begin">
          <w:ffData>
            <w:name w:val="Text1"/>
            <w:enabled/>
            <w:calcOnExit w:val="0"/>
            <w:textInput/>
          </w:ffData>
        </w:fldChar>
      </w:r>
      <w:bookmarkStart w:id="0" w:name="Text1"/>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bookmarkEnd w:id="0"/>
      <w:r>
        <w:rPr>
          <w:rFonts w:ascii="PMingLiU" w:hAnsi="PMingLiU" w:cs="PMingLiU" w:hint="eastAsia"/>
        </w:rPr>
        <w:t xml:space="preserve">    </w:t>
      </w:r>
    </w:p>
    <w:p w14:paraId="0691C37E" w14:textId="77777777" w:rsidR="0090036A" w:rsidRDefault="00000000">
      <w:pPr>
        <w:spacing w:line="360" w:lineRule="exact"/>
        <w:rPr>
          <w:rFonts w:ascii="PMingLiU" w:hAnsi="PMingLiU" w:cs="PMingLiU"/>
        </w:rPr>
      </w:pPr>
      <w:r>
        <w:rPr>
          <w:rFonts w:ascii="PMingLiU" w:hAnsi="PMingLiU" w:cs="PMingLiU" w:hint="eastAsia"/>
        </w:rPr>
        <w:t>代表人：</w:t>
      </w:r>
      <w:r>
        <w:rPr>
          <w:rFonts w:ascii="PMingLiU" w:hAnsi="PMingLiU" w:cs="PMingLiU" w:hint="eastAsia"/>
        </w:rPr>
        <w:fldChar w:fldCharType="begin">
          <w:ffData>
            <w:name w:val=""/>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rPr>
        <w:t xml:space="preserve">                      </w:t>
      </w:r>
    </w:p>
    <w:p w14:paraId="21057D09" w14:textId="77777777" w:rsidR="0090036A" w:rsidRDefault="00000000">
      <w:pPr>
        <w:spacing w:line="360" w:lineRule="exact"/>
        <w:rPr>
          <w:rFonts w:ascii="PMingLiU" w:hAnsi="PMingLiU" w:cs="PMingLiU"/>
        </w:rPr>
      </w:pPr>
      <w:r>
        <w:rPr>
          <w:rFonts w:ascii="PMingLiU" w:hAnsi="PMingLiU" w:cs="PMingLiU" w:hint="eastAsia"/>
        </w:rPr>
        <w:t>地  址：</w:t>
      </w:r>
      <w:r>
        <w:rPr>
          <w:rFonts w:ascii="PMingLiU" w:hAnsi="PMingLiU" w:cs="PMingLiU" w:hint="eastAsia"/>
        </w:rPr>
        <w:fldChar w:fldCharType="begin">
          <w:ffData>
            <w:name w:val=""/>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rPr>
        <w:t xml:space="preserve">                                </w:t>
      </w:r>
    </w:p>
    <w:p w14:paraId="6A9A87F3" w14:textId="77777777" w:rsidR="0090036A" w:rsidRDefault="00000000">
      <w:pPr>
        <w:spacing w:line="360" w:lineRule="exact"/>
        <w:rPr>
          <w:rFonts w:ascii="PMingLiU" w:hAnsi="PMingLiU" w:cs="PMingLiU"/>
        </w:rPr>
      </w:pPr>
      <w:r>
        <w:rPr>
          <w:rFonts w:ascii="PMingLiU" w:hAnsi="PMingLiU" w:cs="PMingLiU" w:hint="eastAsia"/>
        </w:rPr>
        <w:t xml:space="preserve">簽  章：                                       </w:t>
      </w:r>
    </w:p>
    <w:p w14:paraId="455E72A2" w14:textId="77777777" w:rsidR="0090036A" w:rsidRDefault="00000000">
      <w:pPr>
        <w:spacing w:line="360" w:lineRule="exact"/>
        <w:rPr>
          <w:rFonts w:ascii="PMingLiU" w:hAnsi="PMingLiU" w:cs="PMingLiU"/>
        </w:rPr>
      </w:pPr>
      <w:r>
        <w:rPr>
          <w:rFonts w:ascii="PMingLiU" w:hAnsi="PMingLiU" w:cs="PMingLiU" w:hint="eastAsia"/>
        </w:rPr>
        <w:t xml:space="preserve">    </w:t>
      </w:r>
    </w:p>
    <w:p w14:paraId="53608645" w14:textId="77777777" w:rsidR="0090036A" w:rsidRDefault="0090036A">
      <w:pPr>
        <w:spacing w:line="360" w:lineRule="exact"/>
        <w:rPr>
          <w:rFonts w:ascii="PMingLiU" w:hAnsi="PMingLiU" w:cs="PMingLiU"/>
        </w:rPr>
      </w:pPr>
    </w:p>
    <w:p w14:paraId="390BE19B" w14:textId="77777777" w:rsidR="0090036A" w:rsidRDefault="00000000">
      <w:pPr>
        <w:spacing w:line="360" w:lineRule="exact"/>
        <w:ind w:right="-365"/>
        <w:jc w:val="center"/>
        <w:rPr>
          <w:rFonts w:ascii="PMingLiU" w:hAnsi="PMingLiU" w:cs="PMingLiU"/>
        </w:rPr>
      </w:pPr>
      <w:r>
        <w:rPr>
          <w:rFonts w:ascii="PMingLiU" w:hAnsi="PMingLiU" w:cs="PMingLiU" w:hint="eastAsia"/>
        </w:rPr>
        <w:t>中</w:t>
      </w:r>
      <w:r>
        <w:rPr>
          <w:rFonts w:ascii="PMingLiU" w:hAnsi="PMingLiU" w:cs="PMingLiU" w:hint="eastAsia"/>
        </w:rPr>
        <w:tab/>
        <w:t>華</w:t>
      </w:r>
      <w:r>
        <w:rPr>
          <w:rFonts w:ascii="PMingLiU" w:hAnsi="PMingLiU" w:cs="PMingLiU" w:hint="eastAsia"/>
        </w:rPr>
        <w:tab/>
        <w:t>民</w:t>
      </w:r>
      <w:r>
        <w:rPr>
          <w:rFonts w:ascii="PMingLiU" w:hAnsi="PMingLiU" w:cs="PMingLiU" w:hint="eastAsia"/>
        </w:rPr>
        <w:tab/>
        <w:t xml:space="preserve">國 </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rPr>
        <w:t xml:space="preserve"> 年</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rPr>
        <w:t xml:space="preserve"> 月</w:t>
      </w:r>
      <w:r>
        <w:rPr>
          <w:rFonts w:ascii="PMingLiU" w:hAnsi="PMingLiU" w:cs="PMingLiU" w:hint="eastAsia"/>
        </w:rPr>
        <w:fldChar w:fldCharType="begin">
          <w:ffData>
            <w:name w:val="Text1"/>
            <w:enabled/>
            <w:calcOnExit w:val="0"/>
            <w:textInput/>
          </w:ffData>
        </w:fldChar>
      </w:r>
      <w:r>
        <w:rPr>
          <w:rFonts w:ascii="PMingLiU" w:hAnsi="PMingLiU" w:cs="PMingLiU" w:hint="eastAsia"/>
        </w:rPr>
        <w:instrText xml:space="preserve"> FORMTEXT </w:instrText>
      </w:r>
      <w:r>
        <w:rPr>
          <w:rFonts w:ascii="PMingLiU" w:hAnsi="PMingLiU" w:cs="PMingLiU" w:hint="eastAsia"/>
        </w:rPr>
      </w:r>
      <w:r>
        <w:rPr>
          <w:rFonts w:ascii="PMingLiU" w:hAnsi="PMingLiU" w:cs="PMingLiU" w:hint="eastAsia"/>
        </w:rPr>
        <w:fldChar w:fldCharType="separate"/>
      </w:r>
      <w:r>
        <w:rPr>
          <w:rFonts w:ascii="PMingLiU" w:hAnsi="PMingLiU" w:cs="PMingLiU" w:hint="eastAsia"/>
        </w:rPr>
        <w:t>     </w:t>
      </w:r>
      <w:r>
        <w:rPr>
          <w:rFonts w:ascii="PMingLiU" w:hAnsi="PMingLiU" w:cs="PMingLiU" w:hint="eastAsia"/>
        </w:rPr>
        <w:fldChar w:fldCharType="end"/>
      </w:r>
      <w:r>
        <w:rPr>
          <w:rFonts w:ascii="PMingLiU" w:hAnsi="PMingLiU" w:cs="PMingLiU" w:hint="eastAsia"/>
        </w:rPr>
        <w:t xml:space="preserve"> 日</w:t>
      </w:r>
    </w:p>
    <w:p w14:paraId="17DAB74D" w14:textId="77777777" w:rsidR="0090036A" w:rsidRDefault="0090036A"/>
    <w:p/>
    <w:p>
      <w:r>
        <w:rPr>
          <w:b/>
          <w:color w:val="C00000"/>
          <w:sz w:val="28"/>
        </w:rPr>
        <w:t>補充條款對照表(附件二 售後服務協議)</w:t>
      </w:r>
    </w:p>
    <w:p>
      <w:r>
        <w:rPr>
          <w:color w:val="C00000"/>
        </w:rPr>
        <w:t>(本文件原條文一字未改;所有補充內容均以紅字及【補充條款】標記標示,彙整如下,供雙方核對。)</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3402"/>
          </w:tcPr>
          <w:p>
            <w:r>
              <w:rPr>
                <w:b/>
              </w:rPr>
              <w:t>編號</w:t>
            </w:r>
          </w:p>
        </w:tc>
        <w:tc>
          <w:tcPr>
            <w:tcW w:type="dxa" w:w="3402"/>
          </w:tcPr>
          <w:p>
            <w:r>
              <w:rPr>
                <w:b/>
              </w:rPr>
              <w:t>對應原條款</w:t>
            </w:r>
          </w:p>
        </w:tc>
        <w:tc>
          <w:tcPr>
            <w:tcW w:type="dxa" w:w="3402"/>
          </w:tcPr>
          <w:p>
            <w:r>
              <w:rPr>
                <w:b/>
              </w:rPr>
              <w:t>補充重點</w:t>
            </w:r>
          </w:p>
        </w:tc>
      </w:tr>
      <w:tr>
        <w:tc>
          <w:tcPr>
            <w:tcW w:type="dxa" w:w="3402"/>
          </w:tcPr>
          <w:p>
            <w:r>
              <w:t>補充條款 1</w:t>
            </w:r>
          </w:p>
        </w:tc>
        <w:tc>
          <w:tcPr>
            <w:tcW w:type="dxa" w:w="3402"/>
          </w:tcPr>
          <w:p>
            <w:r>
              <w:t>第二條第1項維修保固期限</w:t>
            </w:r>
          </w:p>
        </w:tc>
        <w:tc>
          <w:tcPr>
            <w:tcW w:type="dxa" w:w="3402"/>
          </w:tcPr>
          <w:p>
            <w:r>
              <w:rPr>
                <w:color w:val="C00000"/>
              </w:rPr>
              <w:t>(建議,待雙方議定)維修保固期限建議為十二(12)個月;且無論買方或其指定客戶之驗收日為何,保固期間最長不超過供應商出貨日起十五(15)個月,以先屆至者為準。</w:t>
            </w:r>
          </w:p>
        </w:tc>
      </w:tr>
      <w:tr>
        <w:tc>
          <w:tcPr>
            <w:tcW w:type="dxa" w:w="3402"/>
          </w:tcPr>
          <w:p>
            <w:r>
              <w:t>補充條款 2</w:t>
            </w:r>
          </w:p>
        </w:tc>
        <w:tc>
          <w:tcPr>
            <w:tcW w:type="dxa" w:w="3402"/>
          </w:tcPr>
          <w:p>
            <w:r>
              <w:t>第二條第2項(1)(2)DOA/RMA期限</w:t>
            </w:r>
          </w:p>
        </w:tc>
        <w:tc>
          <w:tcPr>
            <w:tcW w:type="dxa" w:w="3402"/>
          </w:tcPr>
          <w:p>
            <w:r>
              <w:rPr>
                <w:color w:val="C00000"/>
              </w:rPr>
              <w:t>(建議,待雙方議定)DOA認定期間建議為供應商出貨之日起三十(30)日;DOA處理期限建議為接獲故障品後七(7)個工作天;RMA完修期限建議為接獲故障品後十四(14)個工作天。</w:t>
            </w:r>
          </w:p>
        </w:tc>
      </w:tr>
      <w:tr>
        <w:tc>
          <w:tcPr>
            <w:tcW w:type="dxa" w:w="3402"/>
          </w:tcPr>
          <w:p>
            <w:r>
              <w:t>補充條款 3</w:t>
            </w:r>
          </w:p>
        </w:tc>
        <w:tc>
          <w:tcPr>
            <w:tcW w:type="dxa" w:w="3402"/>
          </w:tcPr>
          <w:p>
            <w:r>
              <w:t>第二條第2項(4)逾期銷退計價</w:t>
            </w:r>
          </w:p>
        </w:tc>
        <w:tc>
          <w:tcPr>
            <w:tcW w:type="dxa" w:w="3402"/>
          </w:tcPr>
          <w:p>
            <w:r>
              <w:rPr>
                <w:color w:val="C00000"/>
              </w:rPr>
              <w:t>買方依本項辦理銷退時,銷退金額以該故障品之實際採購單價計算之。</w:t>
            </w:r>
          </w:p>
        </w:tc>
      </w:tr>
      <w:tr>
        <w:tc>
          <w:tcPr>
            <w:tcW w:type="dxa" w:w="3402"/>
          </w:tcPr>
          <w:p>
            <w:r>
              <w:t>補充條款 4</w:t>
            </w:r>
          </w:p>
        </w:tc>
        <w:tc>
          <w:tcPr>
            <w:tcW w:type="dxa" w:w="3402"/>
          </w:tcPr>
          <w:p>
            <w:r>
              <w:t>第二條第5項(2)人為損害認定</w:t>
            </w:r>
          </w:p>
        </w:tc>
        <w:tc>
          <w:tcPr>
            <w:tcW w:type="dxa" w:w="3402"/>
          </w:tcPr>
          <w:p>
            <w:r>
              <w:rPr>
                <w:color w:val="C00000"/>
              </w:rPr>
              <w:t>供應商對買方認定結果有異議並提出佐證資料後,雙方應協商認定;協商不成者,得送交雙方合意之第三方公正檢測機構鑑定,鑑定結果對雙方均有拘束力,鑑定費用由經認定可歸責之一方負擔。</w:t>
            </w:r>
          </w:p>
        </w:tc>
      </w:tr>
      <w:tr>
        <w:tc>
          <w:tcPr>
            <w:tcW w:type="dxa" w:w="3402"/>
          </w:tcPr>
          <w:p>
            <w:r>
              <w:t>補充條款 5</w:t>
            </w:r>
          </w:p>
        </w:tc>
        <w:tc>
          <w:tcPr>
            <w:tcW w:type="dxa" w:w="3402"/>
          </w:tcPr>
          <w:p>
            <w:r>
              <w:t>第四條第2項批次不良處理</w:t>
            </w:r>
          </w:p>
        </w:tc>
        <w:tc>
          <w:tcPr>
            <w:tcW w:type="dxa" w:w="3402"/>
          </w:tcPr>
          <w:p>
            <w:r>
              <w:rPr>
                <w:color w:val="C00000"/>
              </w:rPr>
              <w:t>「傾向性不良」以經雙方確認源自同一根本原因之批次性不良為限;買方主張全數退貨退款或全數召回者,其範圍以受同一根本原因影響之批次為限。分析報告與解決對策之提供期限建議為七(7)個工作天(待雙方議定)。</w:t>
            </w:r>
          </w:p>
        </w:tc>
      </w:tr>
      <w:tr>
        <w:tc>
          <w:tcPr>
            <w:tcW w:type="dxa" w:w="3402"/>
          </w:tcPr>
          <w:p>
            <w:r>
              <w:t>補充條款 6</w:t>
            </w:r>
          </w:p>
        </w:tc>
        <w:tc>
          <w:tcPr>
            <w:tcW w:type="dxa" w:w="3402"/>
          </w:tcPr>
          <w:p>
            <w:r>
              <w:t>第六條客訴處理時程</w:t>
            </w:r>
          </w:p>
        </w:tc>
        <w:tc>
          <w:tcPr>
            <w:tcW w:type="dxa" w:w="3402"/>
          </w:tcPr>
          <w:p>
            <w:r>
              <w:rPr>
                <w:color w:val="C00000"/>
              </w:rPr>
              <w:t>(建議,待雙方議定)一般客訴分析報告之提供期限建議為七(7)個工作天;嚴重客訴之8D Report回覆期限建議為五(5)個工作天。</w:t>
            </w:r>
          </w:p>
        </w:tc>
      </w:tr>
    </w:tbl>
    <w:sectPr w:rsidR="0090036A">
      <w:headerReference w:type="default" r:id="rId7"/>
      <w:footerReference w:type="default" r:id="rId8"/>
      <w:pgSz w:w="11906" w:h="16838"/>
      <w:pgMar w:top="1134" w:right="850" w:bottom="1134" w:left="850" w:header="851" w:footer="3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5D5A46" w14:textId="77777777" w:rsidR="007945CB" w:rsidRDefault="007945CB">
      <w:r>
        <w:separator/>
      </w:r>
    </w:p>
  </w:endnote>
  <w:endnote w:type="continuationSeparator" w:id="0">
    <w:p w14:paraId="70A756DC" w14:textId="77777777" w:rsidR="007945CB" w:rsidRDefault="00794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文鼎粗黑">
    <w:altName w:val="宋体"/>
    <w:panose1 w:val="020B0604020202020204"/>
    <w:charset w:val="88"/>
    <w:family w:val="modern"/>
    <w:pitch w:val="default"/>
    <w:sig w:usb0="00000000" w:usb1="00000000" w:usb2="00000016" w:usb3="00000000" w:csb0="001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0C6CB" w14:textId="77777777" w:rsidR="0090036A" w:rsidRDefault="00000000">
    <w:pPr>
      <w:spacing w:beforeLines="100" w:before="240" w:afterLines="50" w:after="120" w:line="360" w:lineRule="exact"/>
      <w:rPr>
        <w:rFonts w:ascii="PMingLiU" w:hAnsi="PMingLiU" w:cs="PMingLiU"/>
        <w:b/>
        <w:sz w:val="16"/>
        <w:szCs w:val="16"/>
      </w:rPr>
    </w:pPr>
    <w:r>
      <w:rPr>
        <w:rFonts w:ascii="PMingLiU" w:hAnsi="PMingLiU" w:cs="PMingLiU" w:hint="eastAsia"/>
        <w:b/>
        <w:sz w:val="16"/>
        <w:szCs w:val="16"/>
      </w:rPr>
      <w:t>CONFIDENTIAL</w:t>
    </w:r>
  </w:p>
  <w:p w14:paraId="229759E0" w14:textId="77777777" w:rsidR="0090036A" w:rsidRDefault="0090036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A5D8C" w14:textId="77777777" w:rsidR="007945CB" w:rsidRDefault="007945CB">
      <w:r>
        <w:separator/>
      </w:r>
    </w:p>
  </w:footnote>
  <w:footnote w:type="continuationSeparator" w:id="0">
    <w:p w14:paraId="06FC0AEE" w14:textId="77777777" w:rsidR="007945CB" w:rsidRDefault="00794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809AC" w14:textId="77777777" w:rsidR="0090036A" w:rsidRDefault="00000000">
    <w:pPr>
      <w:pStyle w:val="a3"/>
    </w:pPr>
    <w:r>
      <w:rPr>
        <w:rFonts w:ascii="Arial" w:eastAsia="文鼎粗黑" w:hAnsi="Arial" w:cs="Arial"/>
        <w:b/>
        <w:noProof/>
        <w:sz w:val="40"/>
        <w:szCs w:val="40"/>
      </w:rPr>
      <w:drawing>
        <wp:anchor distT="0" distB="0" distL="114300" distR="114300" simplePos="0" relativeHeight="251659264" behindDoc="0" locked="0" layoutInCell="1" allowOverlap="1" wp14:anchorId="45648525" wp14:editId="3C54ABB7">
          <wp:simplePos x="0" y="0"/>
          <wp:positionH relativeFrom="column">
            <wp:posOffset>5622925</wp:posOffset>
          </wp:positionH>
          <wp:positionV relativeFrom="paragraph">
            <wp:posOffset>-410845</wp:posOffset>
          </wp:positionV>
          <wp:extent cx="733425" cy="454025"/>
          <wp:effectExtent l="0" t="0" r="3175" b="3175"/>
          <wp:wrapNone/>
          <wp:docPr id="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3"/>
                  <pic:cNvPicPr>
                    <a:picLocks noChangeAspect="1"/>
                  </pic:cNvPicPr>
                </pic:nvPicPr>
                <pic:blipFill>
                  <a:blip r:embed="rId1"/>
                  <a:stretch>
                    <a:fillRect/>
                  </a:stretch>
                </pic:blipFill>
                <pic:spPr>
                  <a:xfrm>
                    <a:off x="0" y="0"/>
                    <a:ext cx="733425" cy="4540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51BAD"/>
    <w:multiLevelType w:val="multilevel"/>
    <w:tmpl w:val="02B51BAD"/>
    <w:lvl w:ilvl="0">
      <w:start w:val="1"/>
      <w:numFmt w:val="decimal"/>
      <w:lvlText w:val="%1."/>
      <w:lvlJc w:val="left"/>
      <w:pPr>
        <w:tabs>
          <w:tab w:val="left" w:pos="2640"/>
        </w:tabs>
        <w:ind w:left="2640" w:hanging="480"/>
      </w:pPr>
      <w:rPr>
        <w:rFonts w:cs="Times New Roman"/>
      </w:rPr>
    </w:lvl>
    <w:lvl w:ilvl="1">
      <w:start w:val="1"/>
      <w:numFmt w:val="ideographTraditional"/>
      <w:lvlText w:val="%2、"/>
      <w:lvlJc w:val="left"/>
      <w:pPr>
        <w:tabs>
          <w:tab w:val="left" w:pos="3120"/>
        </w:tabs>
        <w:ind w:left="3120" w:hanging="480"/>
      </w:pPr>
      <w:rPr>
        <w:rFonts w:cs="Times New Roman"/>
      </w:rPr>
    </w:lvl>
    <w:lvl w:ilvl="2">
      <w:start w:val="1"/>
      <w:numFmt w:val="lowerRoman"/>
      <w:lvlText w:val="%3."/>
      <w:lvlJc w:val="right"/>
      <w:pPr>
        <w:tabs>
          <w:tab w:val="left" w:pos="3600"/>
        </w:tabs>
        <w:ind w:left="3600" w:hanging="480"/>
      </w:pPr>
      <w:rPr>
        <w:rFonts w:cs="Times New Roman"/>
      </w:rPr>
    </w:lvl>
    <w:lvl w:ilvl="3">
      <w:start w:val="1"/>
      <w:numFmt w:val="decimal"/>
      <w:lvlText w:val="%4."/>
      <w:lvlJc w:val="left"/>
      <w:pPr>
        <w:tabs>
          <w:tab w:val="left" w:pos="4080"/>
        </w:tabs>
        <w:ind w:left="4080" w:hanging="480"/>
      </w:pPr>
      <w:rPr>
        <w:rFonts w:cs="Times New Roman"/>
      </w:rPr>
    </w:lvl>
    <w:lvl w:ilvl="4">
      <w:start w:val="1"/>
      <w:numFmt w:val="ideographTraditional"/>
      <w:lvlText w:val="%5、"/>
      <w:lvlJc w:val="left"/>
      <w:pPr>
        <w:tabs>
          <w:tab w:val="left" w:pos="4560"/>
        </w:tabs>
        <w:ind w:left="4560" w:hanging="480"/>
      </w:pPr>
      <w:rPr>
        <w:rFonts w:cs="Times New Roman"/>
      </w:rPr>
    </w:lvl>
    <w:lvl w:ilvl="5">
      <w:start w:val="1"/>
      <w:numFmt w:val="lowerRoman"/>
      <w:lvlText w:val="%6."/>
      <w:lvlJc w:val="right"/>
      <w:pPr>
        <w:tabs>
          <w:tab w:val="left" w:pos="5040"/>
        </w:tabs>
        <w:ind w:left="5040" w:hanging="480"/>
      </w:pPr>
      <w:rPr>
        <w:rFonts w:cs="Times New Roman"/>
      </w:rPr>
    </w:lvl>
    <w:lvl w:ilvl="6">
      <w:start w:val="1"/>
      <w:numFmt w:val="decimal"/>
      <w:lvlText w:val="%7."/>
      <w:lvlJc w:val="left"/>
      <w:pPr>
        <w:tabs>
          <w:tab w:val="left" w:pos="5520"/>
        </w:tabs>
        <w:ind w:left="5520" w:hanging="480"/>
      </w:pPr>
      <w:rPr>
        <w:rFonts w:cs="Times New Roman"/>
      </w:rPr>
    </w:lvl>
    <w:lvl w:ilvl="7">
      <w:start w:val="1"/>
      <w:numFmt w:val="ideographTraditional"/>
      <w:lvlText w:val="%8、"/>
      <w:lvlJc w:val="left"/>
      <w:pPr>
        <w:tabs>
          <w:tab w:val="left" w:pos="6000"/>
        </w:tabs>
        <w:ind w:left="6000" w:hanging="480"/>
      </w:pPr>
      <w:rPr>
        <w:rFonts w:cs="Times New Roman"/>
      </w:rPr>
    </w:lvl>
    <w:lvl w:ilvl="8">
      <w:start w:val="1"/>
      <w:numFmt w:val="lowerRoman"/>
      <w:lvlText w:val="%9."/>
      <w:lvlJc w:val="right"/>
      <w:pPr>
        <w:tabs>
          <w:tab w:val="left" w:pos="6480"/>
        </w:tabs>
        <w:ind w:left="6480" w:hanging="480"/>
      </w:pPr>
      <w:rPr>
        <w:rFonts w:cs="Times New Roman"/>
      </w:rPr>
    </w:lvl>
  </w:abstractNum>
  <w:abstractNum w:abstractNumId="1" w15:restartNumberingAfterBreak="0">
    <w:nsid w:val="21C96171"/>
    <w:multiLevelType w:val="multilevel"/>
    <w:tmpl w:val="21C96171"/>
    <w:lvl w:ilvl="0">
      <w:start w:val="1"/>
      <w:numFmt w:val="decimal"/>
      <w:lvlText w:val="%1."/>
      <w:lvlJc w:val="left"/>
      <w:pPr>
        <w:tabs>
          <w:tab w:val="left" w:pos="900"/>
        </w:tabs>
        <w:ind w:left="900" w:hanging="360"/>
      </w:pPr>
      <w:rPr>
        <w:rFonts w:cs="Times New Roman" w:hint="default"/>
      </w:rPr>
    </w:lvl>
    <w:lvl w:ilvl="1">
      <w:start w:val="1"/>
      <w:numFmt w:val="ideographTraditional"/>
      <w:lvlText w:val="%2、"/>
      <w:lvlJc w:val="left"/>
      <w:pPr>
        <w:tabs>
          <w:tab w:val="left" w:pos="1500"/>
        </w:tabs>
        <w:ind w:left="1500" w:hanging="480"/>
      </w:pPr>
      <w:rPr>
        <w:rFonts w:cs="Times New Roman"/>
      </w:rPr>
    </w:lvl>
    <w:lvl w:ilvl="2">
      <w:start w:val="1"/>
      <w:numFmt w:val="lowerRoman"/>
      <w:lvlText w:val="%3."/>
      <w:lvlJc w:val="right"/>
      <w:pPr>
        <w:tabs>
          <w:tab w:val="left" w:pos="1980"/>
        </w:tabs>
        <w:ind w:left="1980" w:hanging="480"/>
      </w:pPr>
      <w:rPr>
        <w:rFonts w:cs="Times New Roman"/>
      </w:rPr>
    </w:lvl>
    <w:lvl w:ilvl="3">
      <w:start w:val="1"/>
      <w:numFmt w:val="decimal"/>
      <w:lvlText w:val="%4."/>
      <w:lvlJc w:val="left"/>
      <w:pPr>
        <w:tabs>
          <w:tab w:val="left" w:pos="2460"/>
        </w:tabs>
        <w:ind w:left="2460" w:hanging="480"/>
      </w:pPr>
      <w:rPr>
        <w:rFonts w:cs="Times New Roman"/>
      </w:rPr>
    </w:lvl>
    <w:lvl w:ilvl="4">
      <w:start w:val="1"/>
      <w:numFmt w:val="ideographTraditional"/>
      <w:lvlText w:val="%5、"/>
      <w:lvlJc w:val="left"/>
      <w:pPr>
        <w:tabs>
          <w:tab w:val="left" w:pos="2940"/>
        </w:tabs>
        <w:ind w:left="2940" w:hanging="480"/>
      </w:pPr>
      <w:rPr>
        <w:rFonts w:cs="Times New Roman"/>
      </w:rPr>
    </w:lvl>
    <w:lvl w:ilvl="5">
      <w:start w:val="1"/>
      <w:numFmt w:val="lowerRoman"/>
      <w:lvlText w:val="%6."/>
      <w:lvlJc w:val="right"/>
      <w:pPr>
        <w:tabs>
          <w:tab w:val="left" w:pos="3420"/>
        </w:tabs>
        <w:ind w:left="3420" w:hanging="480"/>
      </w:pPr>
      <w:rPr>
        <w:rFonts w:cs="Times New Roman"/>
      </w:rPr>
    </w:lvl>
    <w:lvl w:ilvl="6">
      <w:start w:val="1"/>
      <w:numFmt w:val="decimal"/>
      <w:lvlText w:val="%7."/>
      <w:lvlJc w:val="left"/>
      <w:pPr>
        <w:tabs>
          <w:tab w:val="left" w:pos="3900"/>
        </w:tabs>
        <w:ind w:left="3900" w:hanging="480"/>
      </w:pPr>
      <w:rPr>
        <w:rFonts w:cs="Times New Roman"/>
      </w:rPr>
    </w:lvl>
    <w:lvl w:ilvl="7">
      <w:start w:val="1"/>
      <w:numFmt w:val="ideographTraditional"/>
      <w:lvlText w:val="%8、"/>
      <w:lvlJc w:val="left"/>
      <w:pPr>
        <w:tabs>
          <w:tab w:val="left" w:pos="4380"/>
        </w:tabs>
        <w:ind w:left="4380" w:hanging="480"/>
      </w:pPr>
      <w:rPr>
        <w:rFonts w:cs="Times New Roman"/>
      </w:rPr>
    </w:lvl>
    <w:lvl w:ilvl="8">
      <w:start w:val="1"/>
      <w:numFmt w:val="lowerRoman"/>
      <w:lvlText w:val="%9."/>
      <w:lvlJc w:val="right"/>
      <w:pPr>
        <w:tabs>
          <w:tab w:val="left" w:pos="4860"/>
        </w:tabs>
        <w:ind w:left="4860" w:hanging="480"/>
      </w:pPr>
      <w:rPr>
        <w:rFonts w:cs="Times New Roman"/>
      </w:rPr>
    </w:lvl>
  </w:abstractNum>
  <w:abstractNum w:abstractNumId="2" w15:restartNumberingAfterBreak="0">
    <w:nsid w:val="2DC22A18"/>
    <w:multiLevelType w:val="multilevel"/>
    <w:tmpl w:val="2DC22A18"/>
    <w:lvl w:ilvl="0">
      <w:start w:val="6"/>
      <w:numFmt w:val="taiwaneseCountingThousand"/>
      <w:lvlText w:val="%1、"/>
      <w:lvlJc w:val="left"/>
      <w:pPr>
        <w:ind w:left="504" w:hanging="504"/>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62B87C1B"/>
    <w:multiLevelType w:val="multilevel"/>
    <w:tmpl w:val="62B87C1B"/>
    <w:lvl w:ilvl="0">
      <w:start w:val="1"/>
      <w:numFmt w:val="decimal"/>
      <w:lvlText w:val="%1."/>
      <w:lvlJc w:val="left"/>
      <w:pPr>
        <w:tabs>
          <w:tab w:val="left" w:pos="900"/>
        </w:tabs>
        <w:ind w:left="900" w:hanging="360"/>
      </w:pPr>
      <w:rPr>
        <w:rFonts w:cs="Times New Roman" w:hint="default"/>
      </w:rPr>
    </w:lvl>
    <w:lvl w:ilvl="1">
      <w:start w:val="1"/>
      <w:numFmt w:val="ideographTraditional"/>
      <w:lvlText w:val="%2、"/>
      <w:lvlJc w:val="left"/>
      <w:pPr>
        <w:tabs>
          <w:tab w:val="left" w:pos="1500"/>
        </w:tabs>
        <w:ind w:left="1500" w:hanging="480"/>
      </w:pPr>
      <w:rPr>
        <w:rFonts w:cs="Times New Roman"/>
      </w:rPr>
    </w:lvl>
    <w:lvl w:ilvl="2">
      <w:start w:val="1"/>
      <w:numFmt w:val="lowerRoman"/>
      <w:lvlText w:val="%3."/>
      <w:lvlJc w:val="right"/>
      <w:pPr>
        <w:tabs>
          <w:tab w:val="left" w:pos="1980"/>
        </w:tabs>
        <w:ind w:left="1980" w:hanging="480"/>
      </w:pPr>
      <w:rPr>
        <w:rFonts w:cs="Times New Roman"/>
      </w:rPr>
    </w:lvl>
    <w:lvl w:ilvl="3">
      <w:start w:val="1"/>
      <w:numFmt w:val="decimal"/>
      <w:lvlText w:val="%4."/>
      <w:lvlJc w:val="left"/>
      <w:pPr>
        <w:tabs>
          <w:tab w:val="left" w:pos="2460"/>
        </w:tabs>
        <w:ind w:left="2460" w:hanging="480"/>
      </w:pPr>
      <w:rPr>
        <w:rFonts w:cs="Times New Roman"/>
      </w:rPr>
    </w:lvl>
    <w:lvl w:ilvl="4">
      <w:start w:val="1"/>
      <w:numFmt w:val="ideographTraditional"/>
      <w:lvlText w:val="%5、"/>
      <w:lvlJc w:val="left"/>
      <w:pPr>
        <w:tabs>
          <w:tab w:val="left" w:pos="2940"/>
        </w:tabs>
        <w:ind w:left="2940" w:hanging="480"/>
      </w:pPr>
      <w:rPr>
        <w:rFonts w:cs="Times New Roman"/>
      </w:rPr>
    </w:lvl>
    <w:lvl w:ilvl="5">
      <w:start w:val="1"/>
      <w:numFmt w:val="lowerRoman"/>
      <w:lvlText w:val="%6."/>
      <w:lvlJc w:val="right"/>
      <w:pPr>
        <w:tabs>
          <w:tab w:val="left" w:pos="3420"/>
        </w:tabs>
        <w:ind w:left="3420" w:hanging="480"/>
      </w:pPr>
      <w:rPr>
        <w:rFonts w:cs="Times New Roman"/>
      </w:rPr>
    </w:lvl>
    <w:lvl w:ilvl="6">
      <w:start w:val="1"/>
      <w:numFmt w:val="decimal"/>
      <w:lvlText w:val="%7."/>
      <w:lvlJc w:val="left"/>
      <w:pPr>
        <w:tabs>
          <w:tab w:val="left" w:pos="3900"/>
        </w:tabs>
        <w:ind w:left="3900" w:hanging="480"/>
      </w:pPr>
      <w:rPr>
        <w:rFonts w:cs="Times New Roman"/>
      </w:rPr>
    </w:lvl>
    <w:lvl w:ilvl="7">
      <w:start w:val="1"/>
      <w:numFmt w:val="ideographTraditional"/>
      <w:lvlText w:val="%8、"/>
      <w:lvlJc w:val="left"/>
      <w:pPr>
        <w:tabs>
          <w:tab w:val="left" w:pos="4380"/>
        </w:tabs>
        <w:ind w:left="4380" w:hanging="480"/>
      </w:pPr>
      <w:rPr>
        <w:rFonts w:cs="Times New Roman"/>
      </w:rPr>
    </w:lvl>
    <w:lvl w:ilvl="8">
      <w:start w:val="1"/>
      <w:numFmt w:val="lowerRoman"/>
      <w:lvlText w:val="%9."/>
      <w:lvlJc w:val="right"/>
      <w:pPr>
        <w:tabs>
          <w:tab w:val="left" w:pos="4860"/>
        </w:tabs>
        <w:ind w:left="4860" w:hanging="480"/>
      </w:pPr>
      <w:rPr>
        <w:rFonts w:cs="Times New Roman"/>
      </w:rPr>
    </w:lvl>
  </w:abstractNum>
  <w:num w:numId="1" w16cid:durableId="784076099">
    <w:abstractNumId w:val="0"/>
  </w:num>
  <w:num w:numId="2" w16cid:durableId="385184215">
    <w:abstractNumId w:val="1"/>
  </w:num>
  <w:num w:numId="3" w16cid:durableId="954946151">
    <w:abstractNumId w:val="2"/>
  </w:num>
  <w:num w:numId="4" w16cid:durableId="15245831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5C2718F"/>
    <w:rsid w:val="00025C5A"/>
    <w:rsid w:val="00675197"/>
    <w:rsid w:val="007945CB"/>
    <w:rsid w:val="00882BB7"/>
    <w:rsid w:val="0090036A"/>
    <w:rsid w:val="009A7620"/>
    <w:rsid w:val="00BB5EFC"/>
    <w:rsid w:val="15C2718F"/>
    <w:rsid w:val="275F5F03"/>
    <w:rsid w:val="2B4140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9DA80D2"/>
  <w15:docId w15:val="{26BBA659-68EC-F64C-9146-CC127238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PMingLiU"/>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snapToGrid w:val="0"/>
    </w:pPr>
    <w:rPr>
      <w:sz w:val="20"/>
      <w:szCs w:val="20"/>
    </w:rPr>
  </w:style>
  <w:style w:type="paragraph" w:styleId="a4">
    <w:name w:val="footer"/>
    <w:basedOn w:val="a"/>
    <w:qFormat/>
    <w:pPr>
      <w:tabs>
        <w:tab w:val="center" w:pos="4153"/>
        <w:tab w:val="right" w:pos="8306"/>
      </w:tabs>
      <w:snapToGri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Cindy_Chiang</dc:creator>
  <cp:lastModifiedBy>Microsoft Office User</cp:lastModifiedBy>
  <cp:revision>2</cp:revision>
  <dcterms:created xsi:type="dcterms:W3CDTF">2026-06-23T08:39:00Z</dcterms:created>
  <dcterms:modified xsi:type="dcterms:W3CDTF">2026-06-23T08:39:00Z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1028-11.8.2.11665</vt:lpwstr>
  </property>
  <property fmtid="{D5CDD505-2E9C-101B-9397-08002B2CF9AE}" pid="3" name="ICV">
    <vt:lpwstr>59FC5131F5D2446E8A13A7C83A26D088</vt:lpwstr>
  </property>
</Properties>
</file>