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tif" ContentType="image/tiff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cs="Arial"/>
          <w:b/>
          <w:b/>
          <w:szCs w:val="24"/>
        </w:rPr>
      </w:pPr>
      <w:r>
        <w:rPr>
          <w:rFonts w:cs="Arial"/>
          <w:b/>
          <w:szCs w:val="24"/>
        </w:rPr>
        <w:t>LA TERRE, SA COMPOSITION ET SA TAILLE</w:t>
      </w:r>
    </w:p>
    <w:p>
      <w:pPr>
        <w:pStyle w:val="Normal"/>
        <w:rPr>
          <w:rFonts w:cs="Arial"/>
          <w:bCs/>
          <w:szCs w:val="24"/>
        </w:rPr>
      </w:pPr>
      <w:r>
        <w:rPr>
          <w:rFonts w:cs="Arial"/>
          <w:bCs/>
          <w:szCs w:val="24"/>
        </w:rPr>
      </w:r>
    </w:p>
    <w:p>
      <w:pPr>
        <w:pStyle w:val="Normal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Ce sujet s’intéresse à la fois à des mécanismes physico-chimiques à l’origine de la formation de la Terre et à une méthode mathématique permettant de calculer le rayon de la sphère terrestre.</w:t>
      </w:r>
    </w:p>
    <w:p>
      <w:pPr>
        <w:pStyle w:val="Normal"/>
        <w:rPr>
          <w:rFonts w:cs="Arial"/>
          <w:bCs/>
          <w:szCs w:val="24"/>
        </w:rPr>
      </w:pPr>
      <w:r>
        <w:rPr>
          <w:rFonts w:cs="Arial"/>
          <w:bCs/>
          <w:szCs w:val="24"/>
        </w:rPr>
      </w:r>
    </w:p>
    <w:p>
      <w:pPr>
        <w:pStyle w:val="Normal"/>
        <w:ind w:left="-624" w:firstLine="624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t>Partie 1 - La formation de la Terre dans l’Univers</w:t>
      </w:r>
    </w:p>
    <w:tbl>
      <w:tblPr>
        <w:tblStyle w:val="Grilledutableau"/>
        <w:tblW w:w="1020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201"/>
      </w:tblGrid>
      <w:tr>
        <w:trPr/>
        <w:tc>
          <w:tcPr>
            <w:tcW w:w="10201" w:type="dxa"/>
            <w:tcBorders>
              <w:bottom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u w:val="single"/>
                <w:lang w:val="fr-FR" w:eastAsia="fr-FR" w:bidi="ar-SA"/>
              </w:rPr>
              <w:t>Document 1a. La nucléosynthèse primordiale</w:t>
            </w:r>
          </w:p>
        </w:tc>
      </w:tr>
      <w:tr>
        <w:trPr/>
        <w:tc>
          <w:tcPr>
            <w:tcW w:w="10201" w:type="dxa"/>
            <w:tcBorders>
              <w:top w:val="nil"/>
            </w:tcBorders>
          </w:tcPr>
          <w:p>
            <w:pPr>
              <w:pStyle w:val="Normal"/>
              <w:widowControl/>
              <w:spacing w:before="240" w:after="0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fr-FR" w:eastAsia="fr-FR" w:bidi="ar-SA"/>
              </w:rPr>
              <w:t>La nucléosynthèse primordiale a lieu lors des premières minutes de l’existence de l’Univers. Les protons et les neutrons apparaissent puis s’assemblent pour former les premiers noyaux d’hydrogène et d’hélium, suivant les réactions suivantes :</w:t>
            </w:r>
          </w:p>
          <w:p>
            <w:pPr>
              <w:pStyle w:val="Normal"/>
              <w:widowControl/>
              <w:spacing w:before="0" w:after="240"/>
              <w:jc w:val="center"/>
              <w:rPr>
                <w:rFonts w:eastAsia="" w:cs="Arial" w:eastAsiaTheme="minorEastAsia"/>
                <w:sz w:val="24"/>
                <w:szCs w:val="24"/>
                <w:lang w:val="en-US"/>
              </w:rPr>
            </w:pPr>
            <w:r>
              <w:rPr>
                <w:kern w:val="0"/>
                <w:sz w:val="20"/>
                <w:lang w:val="fr-FR" w:eastAsia="fr-FR"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H+</m:t>
                    </m:r>
                  </m:e>
                </m:sPre>
                <m:sPr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1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n →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2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</m:t>
                    </m:r>
                  </m:e>
                </m:sPre>
              </m:oMath>
            </m:oMathPara>
          </w:p>
          <w:p>
            <w:pPr>
              <w:pStyle w:val="Normal"/>
              <w:widowControl/>
              <w:spacing w:before="0" w:after="240"/>
              <w:jc w:val="center"/>
              <w:rPr>
                <w:rFonts w:eastAsia="" w:cs="Arial" w:eastAsiaTheme="minorEastAsia"/>
                <w:sz w:val="24"/>
                <w:szCs w:val="24"/>
                <w:lang w:val="en-US"/>
              </w:rPr>
            </w:pPr>
            <w:r>
              <w:rPr>
                <w:kern w:val="0"/>
                <w:sz w:val="20"/>
                <w:lang w:val="fr-FR" w:eastAsia="fr-FR"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2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H+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H→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2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3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He</m:t>
                    </m:r>
                  </m:e>
                </m:sPre>
              </m:oMath>
            </m:oMathPara>
          </w:p>
          <w:p>
            <w:pPr>
              <w:pStyle w:val="Normal"/>
              <w:widowControl/>
              <w:spacing w:before="0" w:after="240"/>
              <w:jc w:val="center"/>
              <w:rPr>
                <w:rFonts w:cs="Arial"/>
                <w:sz w:val="24"/>
                <w:szCs w:val="24"/>
                <w:lang w:val="en-US"/>
              </w:rPr>
            </w:pPr>
            <w:r>
              <w:rPr>
                <w:rFonts w:eastAsia="" w:cs="Arial" w:eastAsiaTheme="minorEastAsia"/>
                <w:kern w:val="0"/>
                <w:sz w:val="20"/>
                <w:szCs w:val="24"/>
                <w:lang w:val="en-US" w:eastAsia="fr-FR" w:bidi="ar-SA"/>
              </w:rPr>
              <w:t xml:space="preserve">    </w:t>
            </w:r>
            <w:r>
              <w:rPr>
                <w:rFonts w:eastAsia="Calibri"/>
                <w:kern w:val="0"/>
                <w:sz w:val="20"/>
                <w:lang w:val="fr-FR" w:eastAsia="fr-FR" w:bidi="ar-SA"/>
              </w:rPr>
            </w:r>
            <m:oMath xmlns:m="http://schemas.openxmlformats.org/officeDocument/2006/math">
              <m:sPr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2</m:t>
                  </m:r>
                </m:sub>
                <m:sup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3</m:t>
                  </m:r>
                </m:sup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He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+</m:t>
                  </m:r>
                </m:e>
              </m:sPre>
              <m:sPr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2</m:t>
                  </m:r>
                </m:sub>
                <m:sup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3</m:t>
                  </m:r>
                </m:sup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He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→</m:t>
                  </m:r>
                </m:e>
              </m:sPre>
              <m:sPr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2</m:t>
                  </m:r>
                </m:sub>
                <m:sup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4</m:t>
                  </m:r>
                </m:sup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He+2 </m:t>
                  </m:r>
                </m:e>
              </m:sPre>
              <m:sPr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1</m:t>
                  </m:r>
                </m:sub>
                <m:sup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1</m:t>
                  </m:r>
                </m:sup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H</m:t>
                  </m:r>
                </m:e>
              </m:sPre>
            </m:oMath>
          </w:p>
          <w:p>
            <w:pPr>
              <w:pStyle w:val="Normal"/>
              <w:widowControl/>
              <w:spacing w:before="0" w:after="0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fr-FR" w:eastAsia="fr-FR" w:bidi="ar-SA"/>
              </w:rPr>
              <w:t xml:space="preserve">Puis rapidement, l’espace se dilate, entrainant la chute de la température et l’éloignement des noyaux formés. La formation de noyaux plus lourds devient impossible. L’Univers est alors formé de 90% de noyaux d’hydrogène et de 10% de noyaux d’hélium, cette composition reste figée pendant quelques centaines de millions d’années, jusqu’à ce que les premières étoiles apparaissent. </w:t>
            </w:r>
          </w:p>
        </w:tc>
      </w:tr>
      <w:tr>
        <w:trPr/>
        <w:tc>
          <w:tcPr>
            <w:tcW w:w="10201" w:type="dxa"/>
            <w:tcBorders/>
          </w:tcPr>
          <w:p>
            <w:pPr>
              <w:pStyle w:val="Normal"/>
              <w:widowControl/>
              <w:spacing w:before="240" w:after="0"/>
              <w:jc w:val="left"/>
              <w:rPr>
                <w:rFonts w:cs="Arial"/>
                <w:sz w:val="24"/>
                <w:szCs w:val="24"/>
                <w:u w:val="single"/>
              </w:rPr>
            </w:pPr>
            <w:r>
              <w:rPr>
                <w:rFonts w:eastAsia="Calibri" w:cs="Arial"/>
                <w:kern w:val="0"/>
                <w:sz w:val="24"/>
                <w:szCs w:val="24"/>
                <w:u w:val="single"/>
                <w:lang w:val="fr-FR" w:eastAsia="fr-FR" w:bidi="ar-SA"/>
              </w:rPr>
              <w:t>Document 1b. La nucléosynthèse stellaire</w:t>
            </w:r>
          </w:p>
          <w:p>
            <w:pPr>
              <w:pStyle w:val="Normal"/>
              <w:widowControl/>
              <w:spacing w:before="240" w:after="0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0"/>
                <w:szCs w:val="24"/>
                <w:lang w:val="fr-FR" w:eastAsia="fr-FR" w:bidi="ar-SA"/>
              </w:rPr>
              <w:t xml:space="preserve">Les travaux menés par Hans Bethe vers </w:t>
            </w:r>
            <w:r>
              <w:rPr>
                <w:rFonts w:eastAsia="Calibri" w:cs="Arial"/>
                <w:bCs/>
                <w:kern w:val="0"/>
                <w:sz w:val="20"/>
                <w:szCs w:val="24"/>
                <w:lang w:val="fr-FR" w:eastAsia="fr-FR" w:bidi="ar-SA"/>
              </w:rPr>
              <w:t xml:space="preserve">1935 </w:t>
            </w:r>
            <w:r>
              <w:rPr>
                <w:rFonts w:eastAsia="Calibri" w:cs="Arial"/>
                <w:kern w:val="0"/>
                <w:sz w:val="20"/>
                <w:szCs w:val="24"/>
                <w:lang w:val="fr-FR" w:eastAsia="fr-FR" w:bidi="ar-SA"/>
              </w:rPr>
              <w:t>expliquèrent comment l’oxygène pouvait se former dans les étoiles par le cycle dit « carbone-oxygène-azote »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fr-FR" w:eastAsia="fr-FR" w:bidi="ar-SA"/>
              </w:rPr>
              <w:t>Extrait du cycle « Carbone-Azote-Oxygène » :</w:t>
            </w:r>
          </w:p>
          <w:p>
            <w:pPr>
              <w:pStyle w:val="Normal"/>
              <w:widowControl/>
              <w:spacing w:before="240" w:after="0"/>
              <w:jc w:val="center"/>
              <w:rPr>
                <w:rFonts w:eastAsia="" w:cs="Arial" w:eastAsiaTheme="minorEastAsia"/>
                <w:sz w:val="24"/>
                <w:szCs w:val="24"/>
              </w:rPr>
            </w:pPr>
            <w:r>
              <w:rPr>
                <w:kern w:val="0"/>
                <w:sz w:val="20"/>
                <w:lang w:val="fr-FR" w:eastAsia="fr-FR"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6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12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C+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H→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7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13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N</m:t>
                    </m:r>
                  </m:e>
                </m:sPre>
              </m:oMath>
            </m:oMathPara>
          </w:p>
          <w:p>
            <w:pPr>
              <w:pStyle w:val="Normal"/>
              <w:widowControl/>
              <w:spacing w:before="240" w:after="0"/>
              <w:jc w:val="center"/>
              <w:rPr>
                <w:rFonts w:eastAsia="" w:cs="Arial" w:eastAsiaTheme="minorEastAsia"/>
                <w:sz w:val="24"/>
                <w:szCs w:val="24"/>
              </w:rPr>
            </w:pPr>
            <w:r>
              <w:rPr>
                <w:kern w:val="0"/>
                <w:sz w:val="20"/>
                <w:lang w:val="fr-FR" w:eastAsia="fr-FR"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7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13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N</m:t>
                    </m:r>
                  </m:e>
                </m:sPr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→</m:t>
                </m:r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6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13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C+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0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n</m:t>
                    </m:r>
                  </m:e>
                </m:sPre>
              </m:oMath>
            </m:oMathPara>
          </w:p>
          <w:p>
            <w:pPr>
              <w:pStyle w:val="Normal"/>
              <w:widowControl/>
              <w:spacing w:before="240" w:after="0"/>
              <w:jc w:val="center"/>
              <w:rPr>
                <w:rFonts w:eastAsia="" w:cs="Arial" w:eastAsiaTheme="minorEastAsia"/>
                <w:sz w:val="24"/>
                <w:szCs w:val="24"/>
              </w:rPr>
            </w:pPr>
            <w:r>
              <w:rPr>
                <w:kern w:val="0"/>
                <w:sz w:val="20"/>
                <w:lang w:val="fr-FR" w:eastAsia="fr-FR"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6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13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C+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H→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7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14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N</m:t>
                    </m:r>
                  </m:e>
                </m:sPre>
              </m:oMath>
            </m:oMathPara>
          </w:p>
          <w:p>
            <w:pPr>
              <w:pStyle w:val="Normal"/>
              <w:widowControl/>
              <w:spacing w:before="240" w:after="0"/>
              <w:jc w:val="center"/>
              <w:rPr>
                <w:rFonts w:eastAsia="" w:cs="Arial" w:eastAsiaTheme="minorEastAsia"/>
                <w:sz w:val="24"/>
                <w:szCs w:val="24"/>
              </w:rPr>
            </w:pPr>
            <w:r>
              <w:rPr>
                <w:kern w:val="0"/>
                <w:sz w:val="20"/>
                <w:lang w:val="fr-FR" w:eastAsia="fr-FR"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7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14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N+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H→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8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15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O</m:t>
                    </m:r>
                  </m:e>
                </m:sPre>
              </m:oMath>
            </m:oMathPara>
          </w:p>
          <w:p>
            <w:pPr>
              <w:pStyle w:val="Normal"/>
              <w:widowControl/>
              <w:spacing w:before="0" w:after="0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0"/>
                <w:szCs w:val="24"/>
                <w:lang w:val="fr-FR" w:eastAsia="fr-FR" w:bidi="ar-SA"/>
              </w:rPr>
              <w:t xml:space="preserve">Puis en </w:t>
            </w:r>
            <w:r>
              <w:rPr>
                <w:rFonts w:eastAsia="Calibri" w:cs="Arial"/>
                <w:bCs/>
                <w:kern w:val="0"/>
                <w:sz w:val="20"/>
                <w:szCs w:val="24"/>
                <w:lang w:val="fr-FR" w:eastAsia="fr-FR" w:bidi="ar-SA"/>
              </w:rPr>
              <w:t xml:space="preserve">1951 </w:t>
            </w:r>
            <w:r>
              <w:rPr>
                <w:rFonts w:eastAsia="Calibri" w:cs="Arial"/>
                <w:kern w:val="0"/>
                <w:sz w:val="20"/>
                <w:szCs w:val="24"/>
                <w:lang w:val="fr-FR" w:eastAsia="fr-FR" w:bidi="ar-SA"/>
              </w:rPr>
              <w:t>Edwin Salpeter expliqua comment les étoiles pouvaient transformer l'hélium en carbone par la réaction dite « triple alpha »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fr-FR" w:eastAsia="fr-FR" w:bidi="ar-SA"/>
              </w:rPr>
              <w:t>Équation de la réaction triple alpha :</w:t>
            </w:r>
          </w:p>
          <w:p>
            <w:pPr>
              <w:pStyle w:val="Normal"/>
              <w:widowControl/>
              <w:spacing w:before="240" w:after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eastAsia="Calibri"/>
                <w:kern w:val="0"/>
                <w:sz w:val="20"/>
                <w:lang w:val="fr-FR" w:eastAsia="fr-FR"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3 </m:t>
                </m:r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2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4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He→</m:t>
                    </m:r>
                  </m:e>
                </m:sPre>
                <m:sPr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6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12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C</m:t>
                    </m:r>
                  </m:e>
                </m:sPre>
              </m:oMath>
            </m:oMathPara>
          </w:p>
          <w:p>
            <w:pPr>
              <w:pStyle w:val="Normal"/>
              <w:widowControl/>
              <w:spacing w:before="0" w:after="240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fr-FR" w:eastAsia="fr-FR" w:bidi="ar-SA"/>
              </w:rPr>
              <w:t>À la fin de sa vie, l’étoile explose et disperse ces noyaux dans l’Univers permettant la formation d’autres étoiles, de planètes et, au moins sur Terre, d'êtres vivants.</w:t>
            </w:r>
          </w:p>
        </w:tc>
      </w:tr>
    </w:tbl>
    <w:p>
      <w:pPr>
        <w:pStyle w:val="Normal"/>
        <w:spacing w:before="0" w:after="240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</w:r>
    </w:p>
    <w:p>
      <w:pPr>
        <w:pStyle w:val="Normal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</w:r>
      <w:r>
        <w:br w:type="page"/>
      </w:r>
    </w:p>
    <w:p>
      <w:pPr>
        <w:pStyle w:val="Normal"/>
        <w:spacing w:before="0" w:after="240"/>
        <w:jc w:val="center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t>Document 2. Abondance relative des éléments chimiques dans le globe terrestre</w:t>
      </w:r>
    </w:p>
    <w:tbl>
      <w:tblPr>
        <w:tblStyle w:val="Grilledutableau"/>
        <w:tblW w:w="566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4"/>
        <w:gridCol w:w="2550"/>
      </w:tblGrid>
      <w:tr>
        <w:trPr/>
        <w:tc>
          <w:tcPr>
            <w:tcW w:w="3114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fr-FR" w:eastAsia="fr-FR" w:bidi="ar-SA"/>
              </w:rPr>
              <w:t>Élément chimique</w:t>
            </w:r>
          </w:p>
        </w:tc>
        <w:tc>
          <w:tcPr>
            <w:tcW w:w="2550" w:type="dxa"/>
            <w:tcBorders/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fr-FR" w:eastAsia="fr-FR" w:bidi="ar-SA"/>
              </w:rPr>
              <w:t>Part en pourcentage</w:t>
            </w:r>
          </w:p>
        </w:tc>
      </w:tr>
      <w:tr>
        <w:trPr/>
        <w:tc>
          <w:tcPr>
            <w:tcW w:w="311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Oxygène</w:t>
            </w:r>
          </w:p>
        </w:tc>
        <w:tc>
          <w:tcPr>
            <w:tcW w:w="255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48,8 %</w:t>
            </w:r>
          </w:p>
        </w:tc>
      </w:tr>
      <w:tr>
        <w:trPr/>
        <w:tc>
          <w:tcPr>
            <w:tcW w:w="311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Magnésium</w:t>
            </w:r>
          </w:p>
        </w:tc>
        <w:tc>
          <w:tcPr>
            <w:tcW w:w="255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16,5 %</w:t>
            </w:r>
          </w:p>
        </w:tc>
      </w:tr>
      <w:tr>
        <w:trPr/>
        <w:tc>
          <w:tcPr>
            <w:tcW w:w="311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Fer</w:t>
            </w:r>
          </w:p>
        </w:tc>
        <w:tc>
          <w:tcPr>
            <w:tcW w:w="255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14,3 %</w:t>
            </w:r>
          </w:p>
        </w:tc>
      </w:tr>
      <w:tr>
        <w:trPr/>
        <w:tc>
          <w:tcPr>
            <w:tcW w:w="311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Silicium</w:t>
            </w:r>
          </w:p>
        </w:tc>
        <w:tc>
          <w:tcPr>
            <w:tcW w:w="255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13,8 %</w:t>
            </w:r>
          </w:p>
        </w:tc>
      </w:tr>
      <w:tr>
        <w:trPr/>
        <w:tc>
          <w:tcPr>
            <w:tcW w:w="311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Soufre</w:t>
            </w:r>
          </w:p>
        </w:tc>
        <w:tc>
          <w:tcPr>
            <w:tcW w:w="255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3,7 %</w:t>
            </w:r>
          </w:p>
        </w:tc>
      </w:tr>
      <w:tr>
        <w:trPr/>
        <w:tc>
          <w:tcPr>
            <w:tcW w:w="3114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Autres</w:t>
            </w:r>
          </w:p>
        </w:tc>
        <w:tc>
          <w:tcPr>
            <w:tcW w:w="2550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2,9 %</w:t>
            </w:r>
          </w:p>
        </w:tc>
      </w:tr>
    </w:tbl>
    <w:p>
      <w:pPr>
        <w:pStyle w:val="Normal"/>
        <w:spacing w:before="0" w:after="240"/>
        <w:jc w:val="both"/>
        <w:rPr>
          <w:rFonts w:cs="Arial"/>
          <w:szCs w:val="24"/>
        </w:rPr>
      </w:pPr>
      <w:r>
        <w:rPr>
          <w:rFonts w:cs="Arial"/>
          <w:b/>
          <w:szCs w:val="24"/>
        </w:rPr>
        <w:t>1-</w:t>
      </w:r>
      <w:r>
        <w:rPr>
          <w:rFonts w:cs="Arial"/>
          <w:szCs w:val="24"/>
        </w:rPr>
        <w:t xml:space="preserve"> Indiquer quel type de réaction (fusion ou fission) est à l’œuvre lors de la nucléosynthèse primordiale.</w:t>
      </w:r>
    </w:p>
    <w:p>
      <w:pPr>
        <w:pStyle w:val="Normal"/>
        <w:spacing w:before="0" w:after="240"/>
        <w:jc w:val="both"/>
        <w:rPr>
          <w:rFonts w:cs="Arial"/>
          <w:szCs w:val="24"/>
        </w:rPr>
      </w:pPr>
      <w:r>
        <w:rPr>
          <w:rFonts w:cs="Arial"/>
          <w:b/>
          <w:szCs w:val="24"/>
        </w:rPr>
        <w:t>2-</w:t>
      </w:r>
      <w:r>
        <w:rPr>
          <w:rFonts w:cs="Arial"/>
          <w:szCs w:val="24"/>
        </w:rPr>
        <w:t xml:space="preserve"> Expliquer comment les travaux de Salpeter ont complété ceux de Bethe.</w:t>
      </w:r>
    </w:p>
    <w:p>
      <w:pPr>
        <w:pStyle w:val="Normal"/>
        <w:spacing w:before="0" w:after="240"/>
        <w:jc w:val="both"/>
        <w:rPr>
          <w:rFonts w:cs="Arial"/>
          <w:szCs w:val="24"/>
        </w:rPr>
      </w:pPr>
      <w:r>
        <w:rPr>
          <w:rFonts w:cs="Arial"/>
          <w:b/>
          <w:bCs/>
          <w:szCs w:val="24"/>
        </w:rPr>
        <w:t>3-</w:t>
      </w:r>
      <w:r>
        <w:rPr>
          <w:rFonts w:cs="Arial"/>
          <w:bCs/>
          <w:szCs w:val="24"/>
        </w:rPr>
        <w:t xml:space="preserve"> </w:t>
      </w:r>
      <w:r>
        <w:rPr>
          <w:rFonts w:cs="Arial"/>
          <w:szCs w:val="24"/>
        </w:rPr>
        <w:t xml:space="preserve">Expliquer pourquoi la composition de l’Univers à la fin de la nucléosynthèse primordiale diffère de celle du globe terrestre. </w:t>
      </w:r>
    </w:p>
    <w:p>
      <w:pPr>
        <w:pStyle w:val="Normal"/>
        <w:rPr>
          <w:rFonts w:cs="Arial"/>
          <w:szCs w:val="24"/>
        </w:rPr>
      </w:pPr>
      <w:r>
        <w:rPr>
          <w:rFonts w:cs="Arial"/>
          <w:szCs w:val="24"/>
        </w:rPr>
      </w:r>
      <w:r>
        <w:br w:type="page"/>
      </w:r>
    </w:p>
    <w:p>
      <w:pPr>
        <w:pStyle w:val="Normal"/>
        <w:jc w:val="center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t>Partie 2 - Mesure d’une grandeur caractéristique de la Terre : son rayon</w:t>
      </w:r>
    </w:p>
    <w:p>
      <w:pPr>
        <w:pStyle w:val="Normal"/>
        <w:jc w:val="center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</w:r>
    </w:p>
    <w:tbl>
      <w:tblPr>
        <w:tblStyle w:val="Grilledutableau"/>
        <w:tblW w:w="10206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62"/>
        <w:gridCol w:w="5243"/>
      </w:tblGrid>
      <w:tr>
        <w:trPr/>
        <w:tc>
          <w:tcPr>
            <w:tcW w:w="10205" w:type="dxa"/>
            <w:gridSpan w:val="2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sz w:val="24"/>
                <w:szCs w:val="24"/>
                <w:u w:val="single"/>
              </w:rPr>
            </w:pPr>
            <w:r>
              <w:rPr>
                <w:rFonts w:eastAsia="Calibri" w:cs="Arial"/>
                <w:kern w:val="0"/>
                <w:sz w:val="24"/>
                <w:szCs w:val="24"/>
                <w:u w:val="single"/>
                <w:lang w:val="fr-FR" w:eastAsia="fr-FR" w:bidi="ar-SA"/>
              </w:rPr>
              <w:t>Document 3. La triangulation</w:t>
            </w:r>
          </w:p>
          <w:p>
            <w:pPr>
              <w:pStyle w:val="Normal"/>
              <w:widowControl/>
              <w:spacing w:before="0" w:after="0"/>
              <w:jc w:val="both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En 1792, sur décision de l’Académie des Sciences, deux scientifiques, Pierre Delambre et Jean-Baptiste Méchain sont chargés de déterminer la longueur de la portion du méridien terrestre situé entre Dunkerque et Barcelone.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 xml:space="preserve">Pour y parvenir, ils déterminent avec une très grande précision la distance au sol séparant deux villes (notées A et B dans les figures ci-dessous). </w:t>
            </w:r>
          </w:p>
          <w:p>
            <w:pPr>
              <w:pStyle w:val="Normal"/>
              <w:widowControl/>
              <w:spacing w:before="0" w:after="24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 xml:space="preserve">Puis, partant de cette mesure appelée « base », ils forment une chaîne de triangles encadrant la portion du méridien (représenté sur le dessin par le segment [AF]) dont ils souhaitent calculer la longueur. </w:t>
            </w:r>
          </w:p>
        </w:tc>
      </w:tr>
      <w:tr>
        <w:trPr/>
        <w:tc>
          <w:tcPr>
            <w:tcW w:w="4962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  <w:u w:val="single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u w:val="single"/>
                <w:lang w:val="fr-FR" w:eastAsia="fr-FR" w:bidi="ar-SA"/>
              </w:rPr>
              <w:t>Figure 3a : exemple de chaines de triangles encadrant la portion de méridien [AF]</w:t>
            </w:r>
          </w:p>
        </w:tc>
        <w:tc>
          <w:tcPr>
            <w:tcW w:w="524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  <w:u w:val="single"/>
              </w:rPr>
            </w:pPr>
            <w:r>
              <w:rPr>
                <w:rFonts w:eastAsia="Calibri" w:cs="Arial"/>
                <w:kern w:val="0"/>
                <w:sz w:val="24"/>
                <w:szCs w:val="24"/>
                <w:u w:val="single"/>
                <w:lang w:val="fr-FR" w:eastAsia="fr-FR" w:bidi="ar-SA"/>
              </w:rPr>
              <w:t>Figure 3b : extrait de la chaine de triangles</w:t>
            </w:r>
          </w:p>
        </w:tc>
      </w:tr>
      <w:tr>
        <w:trPr>
          <w:trHeight w:val="4088" w:hRule="atLeast"/>
        </w:trPr>
        <w:tc>
          <w:tcPr>
            <w:tcW w:w="4962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640080</wp:posOffset>
                  </wp:positionH>
                  <wp:positionV relativeFrom="paragraph">
                    <wp:posOffset>635</wp:posOffset>
                  </wp:positionV>
                  <wp:extent cx="1704975" cy="2664460"/>
                  <wp:effectExtent l="0" t="0" r="0" b="0"/>
                  <wp:wrapTight wrapText="bothSides">
                    <wp:wrapPolygon edited="0">
                      <wp:start x="-71" y="0"/>
                      <wp:lineTo x="-71" y="21391"/>
                      <wp:lineTo x="21455" y="21391"/>
                      <wp:lineTo x="21455" y="0"/>
                      <wp:lineTo x="-71" y="0"/>
                    </wp:wrapPolygon>
                  </wp:wrapTight>
                  <wp:docPr id="1" name="Image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bCs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</w:tc>
        <w:tc>
          <w:tcPr>
            <w:tcW w:w="5243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lang w:val="fr-FR" w:eastAsia="fr-FR" w:bidi="ar-SA"/>
              </w:rPr>
            </w:r>
          </w:p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eastAsia="Calibri"/>
                <w:kern w:val="0"/>
                <w:sz w:val="20"/>
                <w:lang w:val="fr-FR" w:eastAsia="fr-FR" w:bidi="ar-SA"/>
              </w:rPr>
              <w:drawing>
                <wp:inline distT="0" distB="0" distL="0" distR="0">
                  <wp:extent cx="2220595" cy="1962150"/>
                  <wp:effectExtent l="0" t="0" r="0" b="0"/>
                  <wp:docPr id="2" name="Imag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59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sz w:val="24"/>
                <w:szCs w:val="24"/>
                <w:highlight w:val="yellow"/>
              </w:rPr>
            </w:pPr>
            <w:r>
              <w:rPr>
                <w:rFonts w:eastAsia="Calibri" w:cs="Arial"/>
                <w:kern w:val="0"/>
                <w:sz w:val="20"/>
                <w:szCs w:val="24"/>
                <w:highlight w:val="yellow"/>
                <w:lang w:val="fr-FR" w:eastAsia="fr-FR" w:bidi="ar-SA"/>
              </w:rPr>
            </w:r>
          </w:p>
        </w:tc>
      </w:tr>
      <w:tr>
        <w:trPr/>
        <w:tc>
          <w:tcPr>
            <w:tcW w:w="10205" w:type="dxa"/>
            <w:gridSpan w:val="2"/>
            <w:tcBorders>
              <w:bottom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rFonts w:cs="Arial"/>
                <w:sz w:val="24"/>
                <w:szCs w:val="24"/>
              </w:rPr>
            </w:pPr>
            <w:r>
              <w:rPr>
                <w:rFonts w:eastAsia="Calibri" w:cs="Arial"/>
                <w:kern w:val="0"/>
                <w:sz w:val="24"/>
                <w:szCs w:val="24"/>
                <w:lang w:val="fr-FR" w:eastAsia="fr-FR" w:bidi="ar-SA"/>
              </w:rPr>
              <w:t>Donnée : la loi des sinus</w:t>
            </w:r>
          </w:p>
        </w:tc>
      </w:tr>
      <w:tr>
        <w:trPr/>
        <w:tc>
          <w:tcPr>
            <w:tcW w:w="10205" w:type="dxa"/>
            <w:gridSpan w:val="2"/>
            <w:tcBorders>
              <w:top w:val="nil"/>
            </w:tcBorders>
          </w:tcPr>
          <w:p>
            <w:pPr>
              <w:pStyle w:val="Normal"/>
              <w:widowControl/>
              <w:spacing w:before="240" w:after="0"/>
              <w:jc w:val="left"/>
              <w:rPr>
                <w:rFonts w:cs="Arial"/>
                <w:bCs/>
                <w:sz w:val="24"/>
                <w:szCs w:val="24"/>
              </w:rPr>
            </w:pPr>
            <w:r>
              <w:rPr>
                <w:rFonts w:eastAsia="Calibri" w:cs="Arial"/>
                <w:bCs/>
                <w:kern w:val="0"/>
                <w:sz w:val="24"/>
                <w:szCs w:val="24"/>
                <w:lang w:val="fr-FR" w:eastAsia="fr-FR" w:bidi="ar-SA"/>
              </w:rPr>
              <w:t>Dans un triangle ABC quelconque, les angles et les longueurs des côtés sont liés par la relation suivante, connue sous le nom de loi des sinus :</w:t>
            </w:r>
          </w:p>
          <w:tbl>
            <w:tblPr>
              <w:tblStyle w:val="Grilledutableau"/>
              <w:tblW w:w="9062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4531"/>
              <w:gridCol w:w="4530"/>
            </w:tblGrid>
            <w:tr>
              <w:trPr/>
              <w:tc>
                <w:tcPr>
                  <w:tcW w:w="45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pacing w:before="0" w:after="240"/>
                    <w:jc w:val="left"/>
                    <w:rPr>
                      <w:rFonts w:cs="Arial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kern w:val="0"/>
                      <w:sz w:val="20"/>
                      <w:lang w:val="fr-FR" w:eastAsia="fr-FR" w:bidi="ar-SA"/>
                    </w:rPr>
                    <w:drawing>
                      <wp:inline distT="0" distB="0" distL="0" distR="0">
                        <wp:extent cx="2421255" cy="1621790"/>
                        <wp:effectExtent l="0" t="0" r="0" b="0"/>
                        <wp:docPr id="3" name="Image 12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 12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1255" cy="1621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widowControl/>
                    <w:spacing w:before="0" w:after="0"/>
                    <w:jc w:val="left"/>
                    <w:rPr>
                      <w:rFonts w:eastAsia="" w:cs="Arial" w:eastAsiaTheme="minorEastAsia"/>
                      <w:bCs/>
                      <w:sz w:val="24"/>
                      <w:szCs w:val="24"/>
                    </w:rPr>
                  </w:pPr>
                  <w:r>
                    <w:rPr>
                      <w:rFonts w:eastAsia="" w:cs="Arial" w:eastAsiaTheme="minorEastAsia"/>
                      <w:bCs/>
                      <w:kern w:val="0"/>
                      <w:sz w:val="20"/>
                      <w:szCs w:val="24"/>
                      <w:lang w:val="fr-FR" w:eastAsia="fr-FR" w:bidi="ar-SA"/>
                    </w:rPr>
                  </w:r>
                </w:p>
                <w:p>
                  <w:pPr>
                    <w:pStyle w:val="Normal"/>
                    <w:widowControl/>
                    <w:spacing w:before="0" w:after="0"/>
                    <w:jc w:val="left"/>
                    <w:rPr>
                      <w:rFonts w:eastAsia="" w:cs="Arial" w:eastAsiaTheme="minorEastAsia"/>
                      <w:bCs/>
                      <w:sz w:val="24"/>
                      <w:szCs w:val="24"/>
                    </w:rPr>
                  </w:pPr>
                  <w:r>
                    <w:rPr>
                      <w:rFonts w:eastAsia="" w:cs="Arial" w:eastAsiaTheme="minorEastAsia"/>
                      <w:bCs/>
                      <w:kern w:val="0"/>
                      <w:sz w:val="20"/>
                      <w:szCs w:val="24"/>
                      <w:lang w:val="fr-FR" w:eastAsia="fr-FR" w:bidi="ar-SA"/>
                    </w:rPr>
                  </w:r>
                </w:p>
                <w:p>
                  <w:pPr>
                    <w:pStyle w:val="Normal"/>
                    <w:widowControl/>
                    <w:spacing w:before="0" w:after="0"/>
                    <w:jc w:val="left"/>
                    <w:rPr>
                      <w:rFonts w:eastAsia="" w:cs="Arial" w:eastAsiaTheme="minorEastAsia"/>
                      <w:bCs/>
                      <w:sz w:val="24"/>
                      <w:szCs w:val="24"/>
                    </w:rPr>
                  </w:pPr>
                  <w:r>
                    <w:rPr>
                      <w:rFonts w:eastAsia="" w:cs="Arial" w:eastAsiaTheme="minorEastAsia"/>
                      <w:bCs/>
                      <w:kern w:val="0"/>
                      <w:sz w:val="20"/>
                      <w:szCs w:val="24"/>
                      <w:lang w:val="fr-FR" w:eastAsia="fr-FR" w:bidi="ar-SA"/>
                    </w:rPr>
                  </w:r>
                </w:p>
                <w:p>
                  <w:pPr>
                    <w:pStyle w:val="Normal"/>
                    <w:widowControl/>
                    <w:spacing w:before="0" w:after="0"/>
                    <w:jc w:val="center"/>
                    <w:rPr>
                      <w:rFonts w:cs="Arial"/>
                      <w:bCs/>
                      <w:sz w:val="24"/>
                      <w:szCs w:val="24"/>
                      <w:lang w:val="de-DE"/>
                    </w:rPr>
                  </w:pPr>
                  <w:r>
                    <w:rPr>
                      <w:rFonts w:eastAsia="Calibri"/>
                      <w:kern w:val="0"/>
                      <w:sz w:val="20"/>
                      <w:lang w:val="fr-FR" w:eastAsia="fr-FR" w:bidi="ar-SA"/>
                    </w:rPr>
                  </w:r>
                  <m:oMathPara xmlns:m="http://schemas.openxmlformats.org/officeDocument/2006/math">
                    <m:oMathParaPr>
                      <m:jc m:val="center"/>
                    </m:oMathParaPr>
                    <m:oMath>
                      <m:f>
                        <m:num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AB</m:t>
                          </m:r>
                        </m:num>
                        <m:den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sin </m:t>
                          </m:r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γ</m:t>
                          </m:r>
                        </m:den>
                      </m:f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=</m:t>
                      </m:r>
                      <m:f>
                        <m:num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BC</m:t>
                          </m:r>
                        </m:num>
                        <m:den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sin </m:t>
                          </m:r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α</m:t>
                          </m:r>
                        </m:den>
                      </m:f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=</m:t>
                      </m:r>
                      <m:f>
                        <m:num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AC</m:t>
                          </m:r>
                        </m:num>
                        <m:den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sin </m:t>
                          </m:r>
                          <m:r>
                            <m:rPr>
                              <m:lit/>
                              <m:nor/>
                            </m:rPr>
                            <w:rPr>
                              <w:rFonts w:ascii="Cambria Math" w:hAnsi="Cambria Math"/>
                            </w:rPr>
                            <m:t xml:space="preserve">β</m:t>
                          </m:r>
                        </m:den>
                      </m:f>
                    </m:oMath>
                  </m:oMathPara>
                </w:p>
              </w:tc>
            </w:tr>
          </w:tbl>
          <w:p>
            <w:pPr>
              <w:pStyle w:val="Normal"/>
              <w:widowControl/>
              <w:spacing w:before="0" w:after="0"/>
              <w:jc w:val="center"/>
              <w:rPr>
                <w:rFonts w:cs="Arial"/>
                <w:bCs/>
                <w:sz w:val="24"/>
                <w:szCs w:val="24"/>
                <w:lang w:val="en-US"/>
              </w:rPr>
            </w:pPr>
            <w:r>
              <w:rPr>
                <w:rFonts w:eastAsia="Calibri" w:cs="Arial"/>
                <w:bCs/>
                <w:kern w:val="0"/>
                <w:sz w:val="20"/>
                <w:szCs w:val="24"/>
                <w:lang w:val="fr-FR" w:eastAsia="fr-FR" w:bidi="ar-SA"/>
              </w:rPr>
            </w:r>
          </w:p>
        </w:tc>
      </w:tr>
    </w:tbl>
    <w:p>
      <w:pPr>
        <w:pStyle w:val="Normal"/>
        <w:spacing w:before="0" w:after="240"/>
        <w:rPr>
          <w:rFonts w:cs="Arial"/>
          <w:szCs w:val="24"/>
        </w:rPr>
      </w:pPr>
      <w:r>
        <w:rPr>
          <w:rFonts w:cs="Arial"/>
          <w:b/>
          <w:bCs/>
          <w:szCs w:val="24"/>
        </w:rPr>
        <w:t>4-</w:t>
      </w:r>
      <w:r>
        <w:rPr>
          <w:rFonts w:cs="Arial"/>
          <w:bCs/>
          <w:szCs w:val="24"/>
        </w:rPr>
        <w:t xml:space="preserve"> </w:t>
      </w:r>
      <w:r>
        <w:rPr>
          <w:rFonts w:cs="Arial"/>
          <w:szCs w:val="24"/>
        </w:rPr>
        <w:t>Faire un schéma légendé du globe terrestre en faisant apparaitre un méridien et un parallèle.</w:t>
      </w:r>
    </w:p>
    <w:p>
      <w:pPr>
        <w:pStyle w:val="Normal"/>
        <w:spacing w:before="0" w:after="240"/>
        <w:rPr>
          <w:rFonts w:cs="Arial"/>
          <w:szCs w:val="24"/>
        </w:rPr>
      </w:pPr>
      <w:r>
        <w:rPr>
          <w:rFonts w:cs="Arial"/>
          <w:b/>
          <w:bCs/>
          <w:szCs w:val="24"/>
        </w:rPr>
        <w:t>5-</w:t>
      </w:r>
      <w:r>
        <w:rPr>
          <w:rFonts w:cs="Arial"/>
          <w:bCs/>
          <w:szCs w:val="24"/>
        </w:rPr>
        <w:t xml:space="preserve"> </w:t>
      </w:r>
      <w:r>
        <w:rPr>
          <w:rFonts w:cs="Arial"/>
          <w:szCs w:val="24"/>
        </w:rPr>
        <w:t>Répondre aux questions suivantes en utilisant la figure 3b du document 3 :</w:t>
      </w:r>
    </w:p>
    <w:p>
      <w:pPr>
        <w:pStyle w:val="ListParagraph"/>
        <w:spacing w:before="0" w:after="240"/>
        <w:ind w:left="708" w:hanging="0"/>
        <w:contextualSpacing/>
        <w:rPr>
          <w:rFonts w:ascii="Arial" w:hAnsi="Arial" w:eastAsia="" w:cs="Arial" w:eastAsiaTheme="minorEastAsia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5-a-</w:t>
      </w:r>
      <w:r>
        <w:rPr>
          <w:rFonts w:cs="Arial" w:ascii="Arial" w:hAnsi="Arial"/>
          <w:sz w:val="24"/>
          <w:szCs w:val="24"/>
        </w:rPr>
        <w:t xml:space="preserve"> Montrer que l’angle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γ</m:t>
        </m:r>
      </m:oMath>
      <w:r>
        <w:rPr>
          <w:rFonts w:cs="Arial" w:ascii="Arial" w:hAnsi="Arial"/>
          <w:sz w:val="24"/>
          <w:szCs w:val="24"/>
        </w:rPr>
        <w:t xml:space="preserve"> </w:t>
      </w:r>
      <w:r>
        <w:rPr>
          <w:rFonts w:eastAsia="" w:cs="Arial" w:ascii="Arial" w:hAnsi="Arial" w:eastAsiaTheme="minorEastAsia"/>
          <w:sz w:val="24"/>
          <w:szCs w:val="24"/>
        </w:rPr>
        <w:t>mesure 38,27°.</w:t>
      </w:r>
    </w:p>
    <w:p>
      <w:pPr>
        <w:pStyle w:val="ListParagraph"/>
        <w:spacing w:before="0" w:after="0"/>
        <w:ind w:left="709" w:hanging="0"/>
        <w:contextualSpacing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5-b-</w:t>
      </w:r>
      <w:r>
        <w:rPr>
          <w:rFonts w:cs="Arial" w:ascii="Arial" w:hAnsi="Arial"/>
          <w:sz w:val="24"/>
          <w:szCs w:val="24"/>
        </w:rPr>
        <w:t xml:space="preserve"> La longueur AB est égale à 7 km. Utiliser la méthode de triangulation pour montrer que la longueur AC est égale à 9,1 km.</w:t>
      </w:r>
    </w:p>
    <w:p>
      <w:pPr>
        <w:pStyle w:val="Normal"/>
        <w:spacing w:before="0" w:after="120"/>
        <w:ind w:left="709" w:hanging="0"/>
        <w:rPr>
          <w:rFonts w:eastAsia="" w:cs="Arial" w:eastAsiaTheme="minorEastAsia"/>
          <w:szCs w:val="24"/>
        </w:rPr>
      </w:pPr>
      <w:r>
        <w:rPr>
          <w:rFonts w:cs="Arial"/>
          <w:b/>
          <w:bCs/>
          <w:szCs w:val="24"/>
        </w:rPr>
        <w:t>5-c-</w:t>
      </w:r>
      <w:r>
        <w:rPr>
          <w:rFonts w:cs="Arial"/>
          <w:bCs/>
          <w:szCs w:val="24"/>
        </w:rPr>
        <w:t xml:space="preserve"> </w:t>
      </w:r>
      <w:r>
        <w:rPr>
          <w:rFonts w:cs="Arial"/>
          <w:szCs w:val="24"/>
        </w:rPr>
        <w:t xml:space="preserve">Une autre série de mesures montre que l’angle </w:t>
      </w:r>
      <w:r>
        <w:rPr/>
      </w:r>
      <m:oMath xmlns:m="http://schemas.openxmlformats.org/officeDocument/2006/math">
        <m:acc>
          <m:accPr>
            <m:chr m:val="^"/>
          </m:acc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CAG</m:t>
            </m:r>
          </m:e>
        </m:acc>
      </m:oMath>
      <w:r>
        <w:rPr>
          <w:rFonts w:cs="Arial"/>
          <w:szCs w:val="24"/>
        </w:rPr>
        <w:t xml:space="preserve"> </w:t>
      </w:r>
      <w:r>
        <w:rPr>
          <w:rFonts w:eastAsia="" w:cs="Arial" w:eastAsiaTheme="minorEastAsia"/>
          <w:szCs w:val="24"/>
        </w:rPr>
        <w:t xml:space="preserve">mesure 39,26°. Déduire des valeurs précédentes la longueur du segment </w:t>
      </w:r>
      <w:r>
        <w:rPr/>
      </w:r>
      <m:oMath xmlns:m="http://schemas.openxmlformats.org/officeDocument/2006/math"/>
      <w:r>
        <w:rPr>
          <w:rFonts w:eastAsia="" w:cs="Arial" w:eastAsiaTheme="minorEastAsia"/>
          <w:szCs w:val="24"/>
        </w:rPr>
        <w:t>AG</w:t>
      </w:r>
      <w:r>
        <w:rPr/>
      </w:r>
      <m:oMath xmlns:m="http://schemas.openxmlformats.org/officeDocument/2006/math"/>
      <w:r>
        <w:rPr>
          <w:rFonts w:eastAsia="" w:cs="Arial" w:eastAsiaTheme="minorEastAsia"/>
          <w:szCs w:val="24"/>
        </w:rPr>
        <w:t>, qui est une portion de méridien.</w:t>
      </w:r>
    </w:p>
    <w:p>
      <w:pPr>
        <w:pStyle w:val="Normal"/>
        <w:rPr>
          <w:szCs w:val="24"/>
        </w:rPr>
      </w:pPr>
      <w:r>
        <w:rPr>
          <w:rFonts w:cs="Arial"/>
          <w:b/>
          <w:bCs/>
          <w:szCs w:val="24"/>
        </w:rPr>
        <w:t>6-</w:t>
      </w:r>
      <w:r>
        <w:rPr>
          <w:rFonts w:cs="Arial"/>
          <w:bCs/>
          <w:szCs w:val="24"/>
        </w:rPr>
        <w:t xml:space="preserve"> </w:t>
      </w:r>
      <w:r>
        <w:rPr>
          <w:rFonts w:cs="Arial"/>
          <w:szCs w:val="24"/>
        </w:rPr>
        <w:t>Aujourd’hui, des mesures par satellites montrent que la longueur du méridien terrestre est égale à 40 000 km. En déduire la longueur du rayon de la Terre.</w:t>
      </w:r>
    </w:p>
    <w:sectPr>
      <w:type w:val="nextPage"/>
      <w:pgSz w:w="11906" w:h="16838"/>
      <w:pgMar w:left="794" w:right="794" w:gutter="0" w:header="0" w:top="794" w:footer="0" w:bottom="79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Times New Roman" w:cs="Arial"/>
        <w:sz w:val="24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36cd"/>
    <w:pPr>
      <w:widowControl/>
      <w:bidi w:val="0"/>
      <w:spacing w:before="0" w:after="0"/>
      <w:jc w:val="left"/>
    </w:pPr>
    <w:rPr>
      <w:rFonts w:cs="Times New Roman" w:ascii="Arial" w:hAnsi="Arial" w:eastAsia="Times New Roman"/>
      <w:color w:val="auto"/>
      <w:kern w:val="0"/>
      <w:sz w:val="24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0529f4"/>
    <w:pPr>
      <w:keepNext w:val="true"/>
      <w:outlineLvl w:val="0"/>
    </w:pPr>
    <w:rPr>
      <w:rFonts w:eastAsia="" w:cs="" w:cstheme="majorBidi" w:eastAsiaTheme="majorEastAsia"/>
      <w:b/>
      <w:bCs/>
      <w:kern w:val="2"/>
      <w:sz w:val="40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529f4"/>
    <w:pPr>
      <w:keepNext w:val="true"/>
      <w:tabs>
        <w:tab w:val="clear" w:pos="708"/>
        <w:tab w:val="left" w:pos="567" w:leader="none"/>
      </w:tabs>
      <w:outlineLvl w:val="1"/>
    </w:pPr>
    <w:rPr>
      <w:rFonts w:eastAsia="" w:cs="" w:cstheme="majorBidi" w:eastAsiaTheme="majorEastAsia"/>
      <w:b/>
      <w:bCs/>
      <w:iCs/>
      <w:sz w:val="32"/>
      <w:szCs w:val="28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uiPriority w:val="9"/>
    <w:qFormat/>
    <w:rsid w:val="000529f4"/>
    <w:rPr>
      <w:rFonts w:eastAsia="" w:cs="" w:cstheme="majorBidi" w:eastAsiaTheme="majorEastAsia"/>
      <w:b/>
      <w:bCs/>
      <w:kern w:val="2"/>
      <w:sz w:val="40"/>
      <w:szCs w:val="32"/>
      <w:u w:val="single"/>
    </w:rPr>
  </w:style>
  <w:style w:type="character" w:styleId="Titre2Car" w:customStyle="1">
    <w:name w:val="Titre 2 Car"/>
    <w:basedOn w:val="DefaultParagraphFont"/>
    <w:uiPriority w:val="9"/>
    <w:semiHidden/>
    <w:qFormat/>
    <w:rsid w:val="000529f4"/>
    <w:rPr>
      <w:rFonts w:eastAsia="" w:cs="" w:cstheme="majorBidi" w:eastAsiaTheme="majorEastAsia"/>
      <w:b/>
      <w:bCs/>
      <w:iCs/>
      <w:sz w:val="32"/>
      <w:szCs w:val="28"/>
      <w:u w:val="single"/>
    </w:rPr>
  </w:style>
  <w:style w:type="character" w:styleId="LienInternet">
    <w:name w:val="Lien Internet"/>
    <w:basedOn w:val="DefaultParagraphFont"/>
    <w:uiPriority w:val="99"/>
    <w:unhideWhenUsed/>
    <w:rsid w:val="00577639"/>
    <w:rPr>
      <w:color w:val="0000FF" w:themeColor="hyperlink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622d31"/>
    <w:pPr>
      <w:spacing w:lineRule="auto" w:line="259" w:before="0" w:after="160"/>
      <w:ind w:left="720" w:hanging="0"/>
      <w:contextualSpacing/>
    </w:pPr>
    <w:rPr>
      <w:rFonts w:ascii="Calibri" w:hAnsi="Calibri" w:eastAsia="Calibri" w:cs="" w:asciiTheme="minorHAnsi" w:cstheme="minorBidi" w:eastAsiaTheme="minorHAnsi" w:hAnsiTheme="minorHAnsi"/>
      <w:sz w:val="22"/>
    </w:rPr>
  </w:style>
  <w:style w:type="paragraph" w:styleId="Contenudetableau">
    <w:name w:val="Contenu de tableau"/>
    <w:basedOn w:val="Normal"/>
    <w:qFormat/>
    <w:pPr>
      <w:widowControl w:val="false"/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577639"/>
    <w:rPr>
      <w:lang w:eastAsia="fr-FR"/>
      <w:sz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tif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LibreOffice/7.3.7.2$Linux_X86_64 LibreOffice_project/30$Build-2</Application>
  <AppVersion>15.0000</AppVersion>
  <Pages>3</Pages>
  <Words>599</Words>
  <Characters>3078</Characters>
  <CharactersWithSpaces>3642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2020-06-01T21:17:00Z</dcterms:created>
  <dc:creator>Jocelyn CLEMENT</dc:creator>
  <dc:description/>
  <dc:language>fr-FR</dc:language>
  <cp:lastModifiedBy/>
  <dcterms:modified xsi:type="dcterms:W3CDTF">2023-02-17T16:32:44Z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