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0" w:hanging="0"/>
        <w:jc w:val="center"/>
        <w:rPr>
          <w:rFonts w:eastAsia="Times New Roman"/>
          <w:b/>
          <w:b/>
          <w:bCs/>
          <w:kern w:val="2"/>
          <w:sz w:val="32"/>
          <w:szCs w:val="32"/>
        </w:rPr>
      </w:pPr>
      <w:r>
        <w:rPr>
          <w:rFonts w:eastAsia="Times New Roman"/>
          <w:b/>
          <w:bCs/>
          <w:kern w:val="2"/>
          <w:sz w:val="32"/>
          <w:szCs w:val="32"/>
        </w:rPr>
        <w:t>Le crapaud sonneur à ventre jaune</w:t>
      </w:r>
    </w:p>
    <w:p>
      <w:pPr>
        <w:pStyle w:val="Normal"/>
        <w:spacing w:lineRule="auto" w:line="240" w:beforeAutospacing="1" w:after="0"/>
        <w:ind w:left="0" w:hanging="0"/>
        <w:jc w:val="both"/>
        <w:rPr>
          <w:b/>
          <w:b/>
          <w:bCs/>
          <w:u w:val="single"/>
        </w:rPr>
      </w:pPr>
      <w:r>
        <mc:AlternateContent>
          <mc:Choice Requires="wps">
            <w:drawing>
              <wp:anchor behindDoc="0" distT="0" distB="1905" distL="119380" distR="121285" simplePos="0" locked="0" layoutInCell="0" allowOverlap="1" relativeHeight="3" wp14:anchorId="48ABD61A">
                <wp:simplePos x="0" y="0"/>
                <wp:positionH relativeFrom="column">
                  <wp:posOffset>10795</wp:posOffset>
                </wp:positionH>
                <wp:positionV relativeFrom="paragraph">
                  <wp:posOffset>624205</wp:posOffset>
                </wp:positionV>
                <wp:extent cx="6468745" cy="5162550"/>
                <wp:effectExtent l="5715" t="5080" r="4445" b="5080"/>
                <wp:wrapTopAndBottom/>
                <wp:docPr id="1" name="Text Box 4"/>
                <a:graphic xmlns:a="http://schemas.openxmlformats.org/drawingml/2006/main">
                  <a:graphicData uri="http://schemas.microsoft.com/office/word/2010/wordprocessingShape">
                    <wps:wsp>
                      <wps:cNvSpPr/>
                      <wps:spPr>
                        <a:xfrm>
                          <a:off x="0" y="0"/>
                          <a:ext cx="6468840" cy="516240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udecadre"/>
                              <w:ind w:left="0" w:hanging="0"/>
                              <w:rPr>
                                <w:b/>
                                <w:b/>
                                <w:bCs/>
                              </w:rPr>
                            </w:pPr>
                            <w:r>
                              <w:rPr>
                                <w:b/>
                                <w:bCs/>
                              </w:rPr>
                              <w:t>Document 1 : le crapaud sonneur à ventre jaune, une espèce en danger.</w:t>
                            </w:r>
                          </w:p>
                          <w:tbl>
                            <w:tblPr>
                              <w:tblStyle w:val="Grilledutableau"/>
                              <w:tblW w:w="87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2"/>
                              <w:gridCol w:w="4382"/>
                            </w:tblGrid>
                            <w:tr>
                              <w:trPr/>
                              <w:tc>
                                <w:tcPr>
                                  <w:tcW w:w="4382" w:type="dxa"/>
                                  <w:tcBorders>
                                    <w:top w:val="nil"/>
                                    <w:left w:val="nil"/>
                                    <w:bottom w:val="nil"/>
                                    <w:right w:val="nil"/>
                                  </w:tcBorders>
                                </w:tcPr>
                                <w:p>
                                  <w:pPr>
                                    <w:pStyle w:val="Contenudecadre"/>
                                    <w:widowControl/>
                                    <w:spacing w:before="0" w:after="160"/>
                                    <w:ind w:left="0" w:hanging="0"/>
                                    <w:jc w:val="center"/>
                                    <w:rPr>
                                      <w:bCs/>
                                    </w:rPr>
                                  </w:pPr>
                                  <w:r>
                                    <w:rPr>
                                      <w:rFonts w:eastAsia="Calibri" w:cs="Times New Roman"/>
                                      <w:kern w:val="0"/>
                                      <w:sz w:val="20"/>
                                      <w:szCs w:val="20"/>
                                      <w:lang w:val="fr-FR" w:eastAsia="fr-FR" w:bidi="ar-SA"/>
                                    </w:rPr>
                                    <w:drawing>
                                      <wp:inline distT="0" distB="0" distL="0" distR="0">
                                        <wp:extent cx="2580640" cy="154178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2"/>
                                                <a:stretch>
                                                  <a:fillRect/>
                                                </a:stretch>
                                              </pic:blipFill>
                                              <pic:spPr bwMode="auto">
                                                <a:xfrm>
                                                  <a:off x="0" y="0"/>
                                                  <a:ext cx="2580640" cy="1541780"/>
                                                </a:xfrm>
                                                <a:prstGeom prst="rect">
                                                  <a:avLst/>
                                                </a:prstGeom>
                                              </pic:spPr>
                                            </pic:pic>
                                          </a:graphicData>
                                        </a:graphic>
                                      </wp:inline>
                                    </w:drawing>
                                  </w:r>
                                </w:p>
                                <w:p>
                                  <w:pPr>
                                    <w:pStyle w:val="Contenudecadre"/>
                                    <w:widowControl/>
                                    <w:spacing w:before="0" w:after="160"/>
                                    <w:ind w:left="0" w:hanging="0"/>
                                    <w:jc w:val="center"/>
                                    <w:rPr>
                                      <w:rFonts w:ascii="Arial" w:hAnsi="Arial" w:eastAsia="Calibri" w:cs="Times New Roman"/>
                                      <w:kern w:val="0"/>
                                      <w:sz w:val="20"/>
                                      <w:szCs w:val="20"/>
                                      <w:lang w:val="fr-FR" w:eastAsia="fr-FR" w:bidi="ar-SA"/>
                                    </w:rPr>
                                  </w:pPr>
                                  <w:r>
                                    <w:rPr>
                                      <w:rFonts w:eastAsia="Calibri" w:cs="Times New Roman"/>
                                      <w:kern w:val="0"/>
                                      <w:sz w:val="20"/>
                                      <w:szCs w:val="20"/>
                                      <w:u w:val="single"/>
                                      <w:lang w:val="fr-FR" w:eastAsia="fr-FR" w:bidi="ar-SA"/>
                                    </w:rPr>
                                    <w:t>Photo de l’aspect général</w:t>
                                  </w:r>
                                </w:p>
                                <w:p>
                                  <w:pPr>
                                    <w:pStyle w:val="Contenudecadre"/>
                                    <w:widowControl/>
                                    <w:spacing w:before="0" w:after="0"/>
                                    <w:ind w:left="0" w:hanging="0"/>
                                    <w:jc w:val="center"/>
                                    <w:rPr>
                                      <w:color w:val="000000"/>
                                      <w:sz w:val="16"/>
                                      <w:szCs w:val="16"/>
                                    </w:rPr>
                                  </w:pPr>
                                  <w:r>
                                    <w:rPr>
                                      <w:rFonts w:eastAsia="Calibri" w:cs="Times New Roman"/>
                                      <w:color w:val="000000"/>
                                      <w:kern w:val="0"/>
                                      <w:sz w:val="20"/>
                                      <w:szCs w:val="20"/>
                                      <w:lang w:val="fr-FR" w:eastAsia="fr-FR" w:bidi="ar-SA"/>
                                    </w:rPr>
                                  </w:r>
                                </w:p>
                              </w:tc>
                              <w:tc>
                                <w:tcPr>
                                  <w:tcW w:w="4382" w:type="dxa"/>
                                  <w:tcBorders>
                                    <w:top w:val="nil"/>
                                    <w:left w:val="nil"/>
                                    <w:bottom w:val="nil"/>
                                    <w:right w:val="nil"/>
                                  </w:tcBorders>
                                </w:tcPr>
                                <w:p>
                                  <w:pPr>
                                    <w:pStyle w:val="Contenudecadre"/>
                                    <w:widowControl/>
                                    <w:spacing w:before="0" w:after="160"/>
                                    <w:ind w:left="0" w:hanging="0"/>
                                    <w:jc w:val="center"/>
                                    <w:rPr>
                                      <w:bCs/>
                                    </w:rPr>
                                  </w:pPr>
                                  <w:r>
                                    <w:rPr>
                                      <w:rFonts w:eastAsia="Calibri" w:cs="Times New Roman"/>
                                      <w:kern w:val="0"/>
                                      <w:sz w:val="20"/>
                                      <w:szCs w:val="20"/>
                                      <w:lang w:val="fr-FR" w:eastAsia="fr-FR" w:bidi="ar-SA"/>
                                    </w:rPr>
                                    <w:drawing>
                                      <wp:inline distT="0" distB="0" distL="0" distR="0">
                                        <wp:extent cx="1506220" cy="1807210"/>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3"/>
                                                <a:stretch>
                                                  <a:fillRect/>
                                                </a:stretch>
                                              </pic:blipFill>
                                              <pic:spPr bwMode="auto">
                                                <a:xfrm>
                                                  <a:off x="0" y="0"/>
                                                  <a:ext cx="1506220" cy="1807210"/>
                                                </a:xfrm>
                                                <a:prstGeom prst="rect">
                                                  <a:avLst/>
                                                </a:prstGeom>
                                              </pic:spPr>
                                            </pic:pic>
                                          </a:graphicData>
                                        </a:graphic>
                                      </wp:inline>
                                    </w:drawing>
                                  </w:r>
                                </w:p>
                                <w:p>
                                  <w:pPr>
                                    <w:pStyle w:val="Contenudecadre"/>
                                    <w:widowControl/>
                                    <w:spacing w:before="0" w:after="160"/>
                                    <w:ind w:left="0" w:hanging="0"/>
                                    <w:jc w:val="center"/>
                                    <w:rPr>
                                      <w:u w:val="single"/>
                                    </w:rPr>
                                  </w:pPr>
                                  <w:r>
                                    <w:rPr>
                                      <w:rFonts w:eastAsia="Calibri" w:cs="Times New Roman"/>
                                      <w:kern w:val="0"/>
                                      <w:sz w:val="20"/>
                                      <w:szCs w:val="20"/>
                                      <w:u w:val="single"/>
                                      <w:lang w:val="fr-FR" w:eastAsia="fr-FR" w:bidi="ar-SA"/>
                                    </w:rPr>
                                    <w:t>Photo de la face ventrale</w:t>
                                  </w:r>
                                </w:p>
                                <w:p>
                                  <w:pPr>
                                    <w:pStyle w:val="Contenudecadre"/>
                                    <w:widowControl/>
                                    <w:spacing w:before="0" w:after="0"/>
                                    <w:ind w:left="0" w:hanging="0"/>
                                    <w:jc w:val="center"/>
                                    <w:rPr>
                                      <w:color w:val="000000"/>
                                      <w:sz w:val="20"/>
                                      <w:szCs w:val="20"/>
                                    </w:rPr>
                                  </w:pPr>
                                  <w:r>
                                    <w:rPr>
                                      <w:rFonts w:eastAsia="Calibri" w:cs="Times New Roman"/>
                                      <w:color w:val="000000"/>
                                      <w:kern w:val="0"/>
                                      <w:sz w:val="20"/>
                                      <w:szCs w:val="20"/>
                                      <w:lang w:val="fr-FR" w:eastAsia="fr-FR" w:bidi="ar-SA"/>
                                    </w:rPr>
                                  </w:r>
                                </w:p>
                              </w:tc>
                            </w:tr>
                          </w:tbl>
                          <w:p>
                            <w:pPr>
                              <w:pStyle w:val="Contenudecadre"/>
                              <w:ind w:left="0" w:hanging="0"/>
                              <w:jc w:val="both"/>
                              <w:rPr/>
                            </w:pPr>
                            <w:r>
                              <w:rPr/>
                              <w:t xml:space="preserve">Le crapaud sonneur à ventre jaune, </w:t>
                            </w:r>
                            <w:r>
                              <w:rPr>
                                <w:bCs/>
                                <w:i/>
                                <w:iCs/>
                              </w:rPr>
                              <w:t>Bombina variegata</w:t>
                            </w:r>
                            <w:r>
                              <w:rPr/>
                              <w:t xml:space="preserve">, est une espèce d'Amphibien qui fait partie des espèces vulnérables et menacées. Elle fait l’objet d’une protection en France. </w:t>
                            </w:r>
                          </w:p>
                          <w:p>
                            <w:pPr>
                              <w:pStyle w:val="Contenudecadre"/>
                              <w:ind w:left="0" w:hanging="0"/>
                              <w:jc w:val="both"/>
                              <w:rPr/>
                            </w:pPr>
                            <w:r>
                              <w:rPr/>
                              <w:t>Ce crapaud de 3,5 à 5,5 cm de long tient son nom de sa face ventrale jaune tachetée de noir, qui contraste avec sa face dorsale marron-grisâtre.</w:t>
                            </w:r>
                          </w:p>
                          <w:p>
                            <w:pPr>
                              <w:pStyle w:val="Contenudecadre"/>
                              <w:ind w:left="0" w:hanging="0"/>
                              <w:jc w:val="both"/>
                              <w:rPr/>
                            </w:pPr>
                            <w:r>
                              <w:rPr/>
                              <w:t xml:space="preserve">Les mares et les flaques d’eau en forêt constituent l’habitat naturel de cette espèce. Ces lieux sont menacés par l'industrialisation mais aussi par l'agriculture. </w:t>
                            </w:r>
                          </w:p>
                          <w:p>
                            <w:pPr>
                              <w:pStyle w:val="Contenudecadre"/>
                              <w:ind w:left="0" w:hanging="0"/>
                              <w:jc w:val="both"/>
                              <w:rPr/>
                            </w:pPr>
                            <w:r>
                              <w:rPr/>
                              <w:t>La maturité sexuelle du crapaud sonneur à ventre jaune est atteinte au bout de 3 ou 4 ans. Ce crapaud utilise plusieurs mares pour se reproduire accrochant quelques œufs de façon regroupée ou isolée aux plantes aquatiques. Après éclosion des œufs, les têtards se métamorphosent en 34 à 130 jours.</w:t>
                            </w:r>
                          </w:p>
                          <w:p>
                            <w:pPr>
                              <w:pStyle w:val="Contenudecadre"/>
                              <w:spacing w:before="0" w:after="160"/>
                              <w:ind w:left="0" w:hanging="0"/>
                              <w:jc w:val="right"/>
                              <w:rPr>
                                <w:i/>
                                <w:i/>
                                <w:sz w:val="20"/>
                              </w:rPr>
                            </w:pPr>
                            <w:r>
                              <w:rPr>
                                <w:i/>
                                <w:sz w:val="20"/>
                              </w:rPr>
                              <w:t>D’après Wikipédia (consulté le 04/11/2020)</w:t>
                            </w:r>
                          </w:p>
                        </w:txbxContent>
                      </wps:txbx>
                      <wps:bodyPr anchor="t" upright="1">
                        <a:spAutoFit/>
                      </wps:bodyPr>
                    </wps:wsp>
                  </a:graphicData>
                </a:graphic>
                <wp14:sizeRelH relativeFrom="margin">
                  <wp14:pctWidth>100000</wp14:pctWidth>
                </wp14:sizeRelH>
                <wp14:sizeRelV relativeFrom="margin">
                  <wp14:pctHeight>20000</wp14:pctHeight>
                </wp14:sizeRelV>
              </wp:anchor>
            </w:drawing>
          </mc:Choice>
          <mc:Fallback>
            <w:pict>
              <v:rect id="shape_0" ID="Text Box 4" path="m0,0l-2147483645,0l-2147483645,-2147483646l0,-2147483646xe" fillcolor="white" stroked="t" o:allowincell="f" style="position:absolute;margin-left:0.85pt;margin-top:49.15pt;width:509.3pt;height:406.45pt;mso-wrap-style:square;v-text-anchor:top" wp14:anchorId="48ABD61A">
                <v:fill o:detectmouseclick="t" type="solid" color2="black"/>
                <v:stroke color="black" weight="9360" joinstyle="miter" endcap="flat"/>
                <v:textbox>
                  <w:txbxContent>
                    <w:p>
                      <w:pPr>
                        <w:pStyle w:val="Contenudecadre"/>
                        <w:ind w:left="0" w:hanging="0"/>
                        <w:rPr>
                          <w:b/>
                          <w:b/>
                          <w:bCs/>
                        </w:rPr>
                      </w:pPr>
                      <w:r>
                        <w:rPr>
                          <w:b/>
                          <w:bCs/>
                        </w:rPr>
                        <w:t>Document 1 : le crapaud sonneur à ventre jaune, une espèce en danger.</w:t>
                      </w:r>
                    </w:p>
                    <w:tbl>
                      <w:tblPr>
                        <w:tblStyle w:val="Grilledutableau"/>
                        <w:tblW w:w="87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2"/>
                        <w:gridCol w:w="4382"/>
                      </w:tblGrid>
                      <w:tr>
                        <w:trPr/>
                        <w:tc>
                          <w:tcPr>
                            <w:tcW w:w="4382" w:type="dxa"/>
                            <w:tcBorders>
                              <w:top w:val="nil"/>
                              <w:left w:val="nil"/>
                              <w:bottom w:val="nil"/>
                              <w:right w:val="nil"/>
                            </w:tcBorders>
                          </w:tcPr>
                          <w:p>
                            <w:pPr>
                              <w:pStyle w:val="Contenudecadre"/>
                              <w:widowControl/>
                              <w:spacing w:before="0" w:after="160"/>
                              <w:ind w:left="0" w:hanging="0"/>
                              <w:jc w:val="center"/>
                              <w:rPr>
                                <w:bCs/>
                              </w:rPr>
                            </w:pPr>
                            <w:r>
                              <w:rPr>
                                <w:rFonts w:eastAsia="Calibri" w:cs="Times New Roman"/>
                                <w:kern w:val="0"/>
                                <w:sz w:val="20"/>
                                <w:szCs w:val="20"/>
                                <w:lang w:val="fr-FR" w:eastAsia="fr-FR" w:bidi="ar-SA"/>
                              </w:rPr>
                              <w:drawing>
                                <wp:inline distT="0" distB="0" distL="0" distR="0">
                                  <wp:extent cx="2580640" cy="1541780"/>
                                  <wp:effectExtent l="0" t="0" r="0" b="0"/>
                                  <wp:docPr id="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
                                          <pic:cNvPicPr>
                                            <a:picLocks noChangeAspect="1" noChangeArrowheads="1"/>
                                          </pic:cNvPicPr>
                                        </pic:nvPicPr>
                                        <pic:blipFill>
                                          <a:blip r:embed="rId4"/>
                                          <a:stretch>
                                            <a:fillRect/>
                                          </a:stretch>
                                        </pic:blipFill>
                                        <pic:spPr bwMode="auto">
                                          <a:xfrm>
                                            <a:off x="0" y="0"/>
                                            <a:ext cx="2580640" cy="1541780"/>
                                          </a:xfrm>
                                          <a:prstGeom prst="rect">
                                            <a:avLst/>
                                          </a:prstGeom>
                                        </pic:spPr>
                                      </pic:pic>
                                    </a:graphicData>
                                  </a:graphic>
                                </wp:inline>
                              </w:drawing>
                            </w:r>
                          </w:p>
                          <w:p>
                            <w:pPr>
                              <w:pStyle w:val="Contenudecadre"/>
                              <w:widowControl/>
                              <w:spacing w:before="0" w:after="160"/>
                              <w:ind w:left="0" w:hanging="0"/>
                              <w:jc w:val="center"/>
                              <w:rPr>
                                <w:rFonts w:ascii="Arial" w:hAnsi="Arial" w:eastAsia="Calibri" w:cs="Times New Roman"/>
                                <w:kern w:val="0"/>
                                <w:sz w:val="20"/>
                                <w:szCs w:val="20"/>
                                <w:lang w:val="fr-FR" w:eastAsia="fr-FR" w:bidi="ar-SA"/>
                              </w:rPr>
                            </w:pPr>
                            <w:r>
                              <w:rPr>
                                <w:rFonts w:eastAsia="Calibri" w:cs="Times New Roman"/>
                                <w:kern w:val="0"/>
                                <w:sz w:val="20"/>
                                <w:szCs w:val="20"/>
                                <w:u w:val="single"/>
                                <w:lang w:val="fr-FR" w:eastAsia="fr-FR" w:bidi="ar-SA"/>
                              </w:rPr>
                              <w:t>Photo de l’aspect général</w:t>
                            </w:r>
                          </w:p>
                          <w:p>
                            <w:pPr>
                              <w:pStyle w:val="Contenudecadre"/>
                              <w:widowControl/>
                              <w:spacing w:before="0" w:after="0"/>
                              <w:ind w:left="0" w:hanging="0"/>
                              <w:jc w:val="center"/>
                              <w:rPr>
                                <w:color w:val="000000"/>
                                <w:sz w:val="16"/>
                                <w:szCs w:val="16"/>
                              </w:rPr>
                            </w:pPr>
                            <w:r>
                              <w:rPr>
                                <w:rFonts w:eastAsia="Calibri" w:cs="Times New Roman"/>
                                <w:color w:val="000000"/>
                                <w:kern w:val="0"/>
                                <w:sz w:val="20"/>
                                <w:szCs w:val="20"/>
                                <w:lang w:val="fr-FR" w:eastAsia="fr-FR" w:bidi="ar-SA"/>
                              </w:rPr>
                            </w:r>
                          </w:p>
                        </w:tc>
                        <w:tc>
                          <w:tcPr>
                            <w:tcW w:w="4382" w:type="dxa"/>
                            <w:tcBorders>
                              <w:top w:val="nil"/>
                              <w:left w:val="nil"/>
                              <w:bottom w:val="nil"/>
                              <w:right w:val="nil"/>
                            </w:tcBorders>
                          </w:tcPr>
                          <w:p>
                            <w:pPr>
                              <w:pStyle w:val="Contenudecadre"/>
                              <w:widowControl/>
                              <w:spacing w:before="0" w:after="160"/>
                              <w:ind w:left="0" w:hanging="0"/>
                              <w:jc w:val="center"/>
                              <w:rPr>
                                <w:bCs/>
                              </w:rPr>
                            </w:pPr>
                            <w:r>
                              <w:rPr>
                                <w:rFonts w:eastAsia="Calibri" w:cs="Times New Roman"/>
                                <w:kern w:val="0"/>
                                <w:sz w:val="20"/>
                                <w:szCs w:val="20"/>
                                <w:lang w:val="fr-FR" w:eastAsia="fr-FR" w:bidi="ar-SA"/>
                              </w:rPr>
                              <w:drawing>
                                <wp:inline distT="0" distB="0" distL="0" distR="0">
                                  <wp:extent cx="1506220" cy="1807210"/>
                                  <wp:effectExtent l="0" t="0" r="0" b="0"/>
                                  <wp:docPr id="6"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descr=""/>
                                          <pic:cNvPicPr>
                                            <a:picLocks noChangeAspect="1" noChangeArrowheads="1"/>
                                          </pic:cNvPicPr>
                                        </pic:nvPicPr>
                                        <pic:blipFill>
                                          <a:blip r:embed="rId5"/>
                                          <a:stretch>
                                            <a:fillRect/>
                                          </a:stretch>
                                        </pic:blipFill>
                                        <pic:spPr bwMode="auto">
                                          <a:xfrm>
                                            <a:off x="0" y="0"/>
                                            <a:ext cx="1506220" cy="1807210"/>
                                          </a:xfrm>
                                          <a:prstGeom prst="rect">
                                            <a:avLst/>
                                          </a:prstGeom>
                                        </pic:spPr>
                                      </pic:pic>
                                    </a:graphicData>
                                  </a:graphic>
                                </wp:inline>
                              </w:drawing>
                            </w:r>
                          </w:p>
                          <w:p>
                            <w:pPr>
                              <w:pStyle w:val="Contenudecadre"/>
                              <w:widowControl/>
                              <w:spacing w:before="0" w:after="160"/>
                              <w:ind w:left="0" w:hanging="0"/>
                              <w:jc w:val="center"/>
                              <w:rPr>
                                <w:u w:val="single"/>
                              </w:rPr>
                            </w:pPr>
                            <w:r>
                              <w:rPr>
                                <w:rFonts w:eastAsia="Calibri" w:cs="Times New Roman"/>
                                <w:kern w:val="0"/>
                                <w:sz w:val="20"/>
                                <w:szCs w:val="20"/>
                                <w:u w:val="single"/>
                                <w:lang w:val="fr-FR" w:eastAsia="fr-FR" w:bidi="ar-SA"/>
                              </w:rPr>
                              <w:t>Photo de la face ventrale</w:t>
                            </w:r>
                          </w:p>
                          <w:p>
                            <w:pPr>
                              <w:pStyle w:val="Contenudecadre"/>
                              <w:widowControl/>
                              <w:spacing w:before="0" w:after="0"/>
                              <w:ind w:left="0" w:hanging="0"/>
                              <w:jc w:val="center"/>
                              <w:rPr>
                                <w:color w:val="000000"/>
                                <w:sz w:val="20"/>
                                <w:szCs w:val="20"/>
                              </w:rPr>
                            </w:pPr>
                            <w:r>
                              <w:rPr>
                                <w:rFonts w:eastAsia="Calibri" w:cs="Times New Roman"/>
                                <w:color w:val="000000"/>
                                <w:kern w:val="0"/>
                                <w:sz w:val="20"/>
                                <w:szCs w:val="20"/>
                                <w:lang w:val="fr-FR" w:eastAsia="fr-FR" w:bidi="ar-SA"/>
                              </w:rPr>
                            </w:r>
                          </w:p>
                        </w:tc>
                      </w:tr>
                    </w:tbl>
                    <w:p>
                      <w:pPr>
                        <w:pStyle w:val="Contenudecadre"/>
                        <w:ind w:left="0" w:hanging="0"/>
                        <w:jc w:val="both"/>
                        <w:rPr/>
                      </w:pPr>
                      <w:r>
                        <w:rPr/>
                        <w:t xml:space="preserve">Le crapaud sonneur à ventre jaune, </w:t>
                      </w:r>
                      <w:r>
                        <w:rPr>
                          <w:bCs/>
                          <w:i/>
                          <w:iCs/>
                        </w:rPr>
                        <w:t>Bombina variegata</w:t>
                      </w:r>
                      <w:r>
                        <w:rPr/>
                        <w:t xml:space="preserve">, est une espèce d'Amphibien qui fait partie des espèces vulnérables et menacées. Elle fait l’objet d’une protection en France. </w:t>
                      </w:r>
                    </w:p>
                    <w:p>
                      <w:pPr>
                        <w:pStyle w:val="Contenudecadre"/>
                        <w:ind w:left="0" w:hanging="0"/>
                        <w:jc w:val="both"/>
                        <w:rPr/>
                      </w:pPr>
                      <w:r>
                        <w:rPr/>
                        <w:t>Ce crapaud de 3,5 à 5,5 cm de long tient son nom de sa face ventrale jaune tachetée de noir, qui contraste avec sa face dorsale marron-grisâtre.</w:t>
                      </w:r>
                    </w:p>
                    <w:p>
                      <w:pPr>
                        <w:pStyle w:val="Contenudecadre"/>
                        <w:ind w:left="0" w:hanging="0"/>
                        <w:jc w:val="both"/>
                        <w:rPr/>
                      </w:pPr>
                      <w:r>
                        <w:rPr/>
                        <w:t xml:space="preserve">Les mares et les flaques d’eau en forêt constituent l’habitat naturel de cette espèce. Ces lieux sont menacés par l'industrialisation mais aussi par l'agriculture. </w:t>
                      </w:r>
                    </w:p>
                    <w:p>
                      <w:pPr>
                        <w:pStyle w:val="Contenudecadre"/>
                        <w:ind w:left="0" w:hanging="0"/>
                        <w:jc w:val="both"/>
                        <w:rPr/>
                      </w:pPr>
                      <w:r>
                        <w:rPr/>
                        <w:t>La maturité sexuelle du crapaud sonneur à ventre jaune est atteinte au bout de 3 ou 4 ans. Ce crapaud utilise plusieurs mares pour se reproduire accrochant quelques œufs de façon regroupée ou isolée aux plantes aquatiques. Après éclosion des œufs, les têtards se métamorphosent en 34 à 130 jours.</w:t>
                      </w:r>
                    </w:p>
                    <w:p>
                      <w:pPr>
                        <w:pStyle w:val="Contenudecadre"/>
                        <w:spacing w:before="0" w:after="160"/>
                        <w:ind w:left="0" w:hanging="0"/>
                        <w:jc w:val="right"/>
                        <w:rPr>
                          <w:i/>
                          <w:i/>
                          <w:sz w:val="20"/>
                        </w:rPr>
                      </w:pPr>
                      <w:r>
                        <w:rPr>
                          <w:i/>
                          <w:sz w:val="20"/>
                        </w:rPr>
                        <w:t>D’après Wikipédia (consulté le 04/11/2020)</w:t>
                      </w:r>
                    </w:p>
                  </w:txbxContent>
                </v:textbox>
                <w10:wrap type="topAndBottom"/>
              </v:rect>
            </w:pict>
          </mc:Fallback>
        </mc:AlternateContent>
      </w:r>
      <w:r>
        <w:rPr>
          <w:rFonts w:eastAsia="Times New Roman" w:cs="Arial"/>
          <w:i/>
        </w:rPr>
        <w:t>L'objectif de cet exercice est de s’intéresser aux actions humaines entreprises pour la sauvegarde d’une espèce d'Amphibien</w:t>
      </w:r>
      <w:r>
        <w:rPr>
          <w:rFonts w:eastAsia="Times New Roman" w:cs="Arial"/>
        </w:rPr>
        <w:t>.</w:t>
      </w:r>
      <w:r>
        <w:br w:type="page"/>
      </w:r>
    </w:p>
    <w:p>
      <w:pPr>
        <w:pStyle w:val="Normal"/>
        <w:pBdr>
          <w:top w:val="single" w:sz="4" w:space="1" w:color="000000"/>
          <w:left w:val="single" w:sz="4" w:space="4" w:color="000000"/>
          <w:bottom w:val="single" w:sz="4" w:space="1" w:color="000000"/>
          <w:right w:val="single" w:sz="4" w:space="4" w:color="000000"/>
        </w:pBdr>
        <w:ind w:left="0" w:hanging="0"/>
        <w:rPr>
          <w:b/>
          <w:b/>
          <w:bCs/>
        </w:rPr>
      </w:pPr>
      <w:r>
        <w:rPr>
          <w:b/>
          <w:bCs/>
        </w:rPr>
        <w:t>Document 2 : le crapaud sonneur à ventre jaune, une espèce suivie.</w:t>
      </w:r>
    </w:p>
    <w:p>
      <w:pPr>
        <w:pStyle w:val="Normal"/>
        <w:pBdr>
          <w:top w:val="single" w:sz="4" w:space="1" w:color="000000"/>
          <w:left w:val="single" w:sz="4" w:space="4" w:color="000000"/>
          <w:bottom w:val="single" w:sz="4" w:space="1" w:color="000000"/>
          <w:right w:val="single" w:sz="4" w:space="4" w:color="000000"/>
        </w:pBdr>
        <w:ind w:left="0" w:hanging="0"/>
        <w:jc w:val="both"/>
        <w:rPr/>
      </w:pPr>
      <w:r>
        <w:rPr/>
        <w:t>Le marquage peut être un marquage de groupe (un point de couleur par exemple pour chaque individu capturé lors d’une session donnée), mais on utilise de préférence le marquage individuel, car il permet d’obtenir beaucoup plus d’informations. Chez le crapaud sonneur, on identifie facilement les individus grâce à leur motif ventral unique. Ce motif de coloration est en effet propre à chaque individu et stable dans le temps (hormis pour les stades les plus jeunes).</w:t>
      </w:r>
    </w:p>
    <w:p>
      <w:pPr>
        <w:pStyle w:val="Normal"/>
        <w:pBdr>
          <w:top w:val="single" w:sz="4" w:space="1" w:color="000000"/>
          <w:left w:val="single" w:sz="4" w:space="4" w:color="000000"/>
          <w:bottom w:val="single" w:sz="4" w:space="1" w:color="000000"/>
          <w:right w:val="single" w:sz="4" w:space="4" w:color="000000"/>
        </w:pBdr>
        <w:spacing w:before="0" w:after="0"/>
        <w:ind w:left="0" w:hanging="0"/>
        <w:jc w:val="center"/>
        <w:rPr>
          <w:u w:val="single"/>
        </w:rPr>
      </w:pPr>
      <w:r>
        <w:rPr>
          <w:u w:val="single"/>
        </w:rPr>
        <w:t>Photos de motifs ventraux du même individu à des stades différents.</w:t>
      </w:r>
    </w:p>
    <w:p>
      <w:pPr>
        <w:pStyle w:val="Normal"/>
        <w:pBdr>
          <w:top w:val="single" w:sz="4" w:space="1" w:color="000000"/>
          <w:left w:val="single" w:sz="4" w:space="4" w:color="000000"/>
          <w:bottom w:val="single" w:sz="4" w:space="1" w:color="000000"/>
          <w:right w:val="single" w:sz="4" w:space="4" w:color="000000"/>
        </w:pBdr>
        <w:spacing w:before="0" w:after="0"/>
        <w:ind w:left="0" w:hanging="0"/>
        <w:jc w:val="center"/>
        <w:rPr/>
      </w:pPr>
      <w:r>
        <w:rPr/>
        <w:t>De gauche à droite : juvénile, subadulte, adulte (apte à la reproduction)</w:t>
      </w:r>
    </w:p>
    <w:p>
      <w:pPr>
        <w:pStyle w:val="Normal"/>
        <w:pBdr>
          <w:top w:val="single" w:sz="4" w:space="1" w:color="000000"/>
          <w:left w:val="single" w:sz="4" w:space="4" w:color="000000"/>
          <w:bottom w:val="single" w:sz="4" w:space="1" w:color="000000"/>
          <w:right w:val="single" w:sz="4" w:space="4" w:color="000000"/>
        </w:pBdr>
        <w:spacing w:before="0" w:after="0"/>
        <w:ind w:left="0" w:hanging="0"/>
        <w:jc w:val="center"/>
        <w:rPr>
          <w:u w:val="single"/>
        </w:rPr>
      </w:pPr>
      <w:r>
        <w:rPr>
          <w:u w:val="single"/>
        </w:rPr>
      </w:r>
    </w:p>
    <w:p>
      <w:pPr>
        <w:pStyle w:val="Normal"/>
        <w:pBdr>
          <w:top w:val="single" w:sz="4" w:space="1" w:color="000000"/>
          <w:left w:val="single" w:sz="4" w:space="4" w:color="000000"/>
          <w:bottom w:val="single" w:sz="4" w:space="1" w:color="000000"/>
          <w:right w:val="single" w:sz="4" w:space="4" w:color="000000"/>
        </w:pBdr>
        <w:spacing w:before="0" w:after="0"/>
        <w:ind w:left="0" w:hanging="0"/>
        <w:jc w:val="center"/>
        <w:rPr>
          <w:u w:val="single"/>
        </w:rPr>
      </w:pPr>
      <w:r>
        <w:rPr/>
        <w:drawing>
          <wp:inline distT="0" distB="0" distL="0" distR="0">
            <wp:extent cx="5591175" cy="2495550"/>
            <wp:effectExtent l="0" t="0" r="0" b="0"/>
            <wp:docPr id="7"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descr=""/>
                    <pic:cNvPicPr>
                      <a:picLocks noChangeAspect="1" noChangeArrowheads="1"/>
                    </pic:cNvPicPr>
                  </pic:nvPicPr>
                  <pic:blipFill>
                    <a:blip r:embed="rId6"/>
                    <a:stretch>
                      <a:fillRect/>
                    </a:stretch>
                  </pic:blipFill>
                  <pic:spPr bwMode="auto">
                    <a:xfrm>
                      <a:off x="0" y="0"/>
                      <a:ext cx="5591175" cy="2495550"/>
                    </a:xfrm>
                    <a:prstGeom prst="rect">
                      <a:avLst/>
                    </a:prstGeom>
                  </pic:spPr>
                </pic:pic>
              </a:graphicData>
            </a:graphic>
          </wp:inline>
        </w:drawing>
      </w:r>
    </w:p>
    <w:p>
      <w:pPr>
        <w:pStyle w:val="Normal"/>
        <w:pBdr>
          <w:top w:val="single" w:sz="4" w:space="1" w:color="000000"/>
          <w:left w:val="single" w:sz="4" w:space="4" w:color="000000"/>
          <w:bottom w:val="single" w:sz="4" w:space="1" w:color="000000"/>
          <w:right w:val="single" w:sz="4" w:space="4" w:color="000000"/>
        </w:pBdr>
        <w:spacing w:before="0" w:after="0"/>
        <w:ind w:left="0" w:hanging="0"/>
        <w:jc w:val="center"/>
        <w:rPr>
          <w:u w:val="single"/>
        </w:rPr>
      </w:pPr>
      <w:r>
        <w:rPr>
          <w:u w:val="single"/>
        </w:rPr>
      </w:r>
    </w:p>
    <w:p>
      <w:pPr>
        <w:pStyle w:val="Normal"/>
        <w:pBdr>
          <w:top w:val="single" w:sz="4" w:space="1" w:color="000000"/>
          <w:left w:val="single" w:sz="4" w:space="4" w:color="000000"/>
          <w:bottom w:val="single" w:sz="4" w:space="1" w:color="000000"/>
          <w:right w:val="single" w:sz="4" w:space="4" w:color="000000"/>
        </w:pBdr>
        <w:spacing w:before="0" w:after="0"/>
        <w:ind w:left="0" w:hanging="0"/>
        <w:jc w:val="right"/>
        <w:rPr>
          <w:i/>
          <w:i/>
          <w:szCs w:val="20"/>
        </w:rPr>
      </w:pPr>
      <w:r>
        <w:rPr>
          <w:bCs/>
          <w:szCs w:val="20"/>
        </w:rPr>
        <w:t xml:space="preserve">D’après </w:t>
      </w:r>
      <w:r>
        <w:rPr>
          <w:i/>
          <w:szCs w:val="20"/>
        </w:rPr>
        <w:t>Synthèse de la méthode de suivi de population par C.M.R.</w:t>
      </w:r>
    </w:p>
    <w:p>
      <w:pPr>
        <w:pStyle w:val="Normal"/>
        <w:pBdr>
          <w:top w:val="single" w:sz="4" w:space="1" w:color="000000"/>
          <w:left w:val="single" w:sz="4" w:space="4" w:color="000000"/>
          <w:bottom w:val="single" w:sz="4" w:space="1" w:color="000000"/>
          <w:right w:val="single" w:sz="4" w:space="4" w:color="000000"/>
        </w:pBdr>
        <w:spacing w:before="0" w:after="0"/>
        <w:ind w:left="0" w:hanging="0"/>
        <w:jc w:val="right"/>
        <w:rPr>
          <w:sz w:val="32"/>
        </w:rPr>
      </w:pPr>
      <w:r>
        <w:rPr>
          <w:i/>
          <w:szCs w:val="20"/>
        </w:rPr>
        <w:t>appliquée au Sonneur à ventre jaune</w:t>
      </w:r>
      <w:r>
        <w:rPr>
          <w:szCs w:val="20"/>
        </w:rPr>
        <w:t xml:space="preserve">, ONF-MEDDE, 2016. </w:t>
      </w:r>
    </w:p>
    <w:p>
      <w:pPr>
        <w:pStyle w:val="Normal"/>
        <w:ind w:left="0" w:hanging="0"/>
        <w:jc w:val="both"/>
        <w:rPr>
          <w:iCs/>
        </w:rPr>
      </w:pPr>
      <w:r>
        <w:rPr/>
      </w:r>
    </w:p>
    <w:p>
      <w:pPr>
        <w:pStyle w:val="Normal"/>
        <w:ind w:left="0" w:hanging="0"/>
        <w:jc w:val="both"/>
        <w:rPr>
          <w:iCs/>
        </w:rPr>
      </w:pPr>
      <w:r>
        <w:rPr/>
      </w:r>
    </w:p>
    <w:p>
      <w:pPr>
        <w:pStyle w:val="Normal"/>
        <w:ind w:left="0" w:hanging="0"/>
        <w:jc w:val="both"/>
        <w:rPr>
          <w:iCs/>
        </w:rPr>
      </w:pPr>
      <w:r>
        <w:rPr>
          <w:iCs/>
        </w:rPr>
        <w:t xml:space="preserve">Des biologistes veulent estimer l'abondance d'une population isolée de sonneurs à ventre jaune dans la forêt domaniale de Darney en Lorraine. Pour cela, ils utilisent la méthode CMR (capture, marquage, recapture) qui permet d'estimer l'abondance d'une population. Ils ont ainsi capturé, marqué puis relâché 548 sonneurs à ventre jaune. Une deuxième capture de sonneurs à ventre jaune a été effectuée quelques mois plus tard : 554 ont été capturés dont 133 qui avaient été marqués lors de la première capture. </w:t>
      </w:r>
    </w:p>
    <w:p>
      <w:pPr>
        <w:pStyle w:val="Normal"/>
        <w:ind w:left="0" w:hanging="0"/>
        <w:rPr>
          <w:i/>
          <w:i/>
        </w:rPr>
      </w:pPr>
      <w:r>
        <w:rPr>
          <w:i/>
        </w:rPr>
      </w:r>
    </w:p>
    <w:p>
      <w:pPr>
        <w:pStyle w:val="Normal"/>
        <w:spacing w:lineRule="auto" w:line="240" w:before="0" w:after="0"/>
        <w:ind w:left="0" w:hanging="0"/>
        <w:rPr>
          <w:b/>
          <w:b/>
          <w:bCs/>
        </w:rPr>
      </w:pPr>
      <w:r>
        <w:rPr>
          <w:b/>
          <w:bCs/>
        </w:rPr>
      </w:r>
      <w:r>
        <w:br w:type="page"/>
      </w:r>
    </w:p>
    <w:p>
      <w:pPr>
        <w:pStyle w:val="Normal"/>
        <w:ind w:left="0" w:hanging="0"/>
        <w:rPr>
          <w:b/>
          <w:b/>
          <w:bCs/>
        </w:rPr>
      </w:pPr>
      <w:r>
        <w:rPr>
          <w:b/>
          <w:bCs/>
        </w:rPr>
        <w:t xml:space="preserve">1- </w:t>
      </w:r>
      <w:r>
        <w:rPr/>
        <w:t>Présenter les principes de la méthode CMR (capture, marquage, recapture).</w:t>
      </w:r>
      <w:r>
        <w:rPr>
          <w:b/>
          <w:bCs/>
        </w:rPr>
        <w:t xml:space="preserve"> </w:t>
      </w:r>
    </w:p>
    <w:p>
      <w:pPr>
        <w:pStyle w:val="Normal"/>
        <w:ind w:left="0" w:hanging="0"/>
        <w:jc w:val="both"/>
        <w:rPr>
          <w:b/>
          <w:b/>
          <w:bCs/>
        </w:rPr>
      </w:pPr>
      <w:r>
        <w:rPr>
          <w:b/>
          <w:bCs/>
        </w:rPr>
        <w:t xml:space="preserve">2- </w:t>
      </w:r>
      <w:r>
        <w:rPr/>
        <w:t xml:space="preserve">Donner la fréquence </w:t>
      </w:r>
      <w:r>
        <w:rPr/>
      </w:r>
      <m:oMath xmlns:m="http://schemas.openxmlformats.org/officeDocument/2006/math">
        <m:r>
          <w:rPr>
            <w:rFonts w:ascii="Cambria Math" w:hAnsi="Cambria Math"/>
          </w:rPr>
          <m:t xml:space="preserve">f</m:t>
        </m:r>
      </m:oMath>
      <w:r>
        <w:rPr/>
        <w:t xml:space="preserve"> de la population marquée rapportée à l’échantillon des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554</m:t>
        </m:r>
      </m:oMath>
      <w:r>
        <w:rPr/>
        <w:t xml:space="preserve"> individus recapturés. En déduire une première estimation de l'abondance de la population de sonneurs à ventre jaune dans la zone d'étude.</w:t>
      </w:r>
      <w:r>
        <w:rPr>
          <w:b/>
          <w:bCs/>
        </w:rPr>
        <w:t xml:space="preserve"> </w:t>
      </w:r>
    </w:p>
    <w:p>
      <w:pPr>
        <w:pStyle w:val="Normal"/>
        <w:ind w:left="0" w:hanging="0"/>
        <w:jc w:val="both"/>
        <w:rPr/>
      </w:pPr>
      <w:r>
        <w:rPr>
          <w:b/>
          <w:bCs/>
        </w:rPr>
        <w:t xml:space="preserve">3- </w:t>
      </w:r>
      <w:r>
        <w:rPr/>
        <w:t>Pour tenir compte de la fluctuation d’échantillonnage, on considère, avec un indice de confiance de 95 %, que la proportion de la population marquée rapportée à la population totale de sonneurs à ventre jaune se situe dans l’intervalle :</w:t>
      </w:r>
    </w:p>
    <w:p>
      <w:pPr>
        <w:pStyle w:val="Normal"/>
        <w:ind w:left="0" w:hanging="0"/>
        <w:jc w:val="center"/>
        <w:rPr>
          <w:rFonts w:cs="Arial"/>
          <w:color w:val="000000"/>
        </w:rPr>
      </w:pPr>
      <w:r>
        <w:rPr/>
      </w:r>
      <m:oMath xmlns:m="http://schemas.openxmlformats.org/officeDocument/2006/math">
        <m:d>
          <m:dPr>
            <m:begChr m:val="["/>
            <m:endChr m:val="]"/>
          </m:dPr>
          <m:e>
            <m:r>
              <w:rPr>
                <w:rFonts w:ascii="Cambria Math" w:hAnsi="Cambria Math"/>
              </w:rPr>
              <m:t xml:space="preserve">f</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n</m:t>
                    </m:r>
                  </m:e>
                </m:rad>
              </m:den>
            </m:f>
            <m:r>
              <w:rPr>
                <w:rFonts w:ascii="Cambria Math" w:hAnsi="Cambria Math"/>
              </w:rPr>
              <m:t xml:space="preserve">;</m:t>
            </m:r>
            <m:r>
              <w:rPr>
                <w:rFonts w:ascii="Cambria Math" w:hAnsi="Cambria Math"/>
              </w:rPr>
              <m:t xml:space="preserve">f</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n</m:t>
                    </m:r>
                  </m:e>
                </m:rad>
              </m:den>
            </m:f>
          </m:e>
        </m:d>
      </m:oMath>
      <w:r>
        <w:rPr>
          <w:rFonts w:cs="Arial"/>
          <w:color w:val="000000"/>
        </w:rPr>
        <w:t>,</w:t>
      </w:r>
    </w:p>
    <w:p>
      <w:pPr>
        <w:pStyle w:val="Normal"/>
        <w:ind w:left="0" w:hanging="0"/>
        <w:jc w:val="both"/>
        <w:rPr>
          <w:bCs/>
        </w:rPr>
      </w:pPr>
      <w:r>
        <w:rPr>
          <w:rFonts w:cs="Arial"/>
          <w:color w:val="000000"/>
        </w:rPr>
        <w:t>Déterminer dans ces conditions un encadrement de l’abondance de la population de sonneurs à ventre jaune.</w:t>
      </w:r>
    </w:p>
    <w:p>
      <w:pPr>
        <w:pStyle w:val="Normal"/>
        <w:ind w:left="0" w:hanging="0"/>
        <w:rPr>
          <w:b/>
          <w:b/>
          <w:bCs/>
        </w:rPr>
      </w:pPr>
      <w:r>
        <w:rPr>
          <w:b/>
          <w:bCs/>
        </w:rPr>
        <w:t xml:space="preserve">4- </w:t>
      </w:r>
      <w:r>
        <w:rPr/>
        <w:t>À partir de vos connaissances et des documents, formuler des hypothèses sur les causes possibles de la baisse d’abondance de ce crapaud.</w:t>
      </w:r>
    </w:p>
    <w:p>
      <w:pPr>
        <w:pStyle w:val="Normal"/>
        <w:ind w:left="0" w:hanging="0"/>
        <w:jc w:val="both"/>
        <w:rPr/>
      </w:pPr>
      <w:r>
        <w:rPr>
          <w:b/>
          <w:bCs/>
        </w:rPr>
        <w:t xml:space="preserve">5- </w:t>
      </w:r>
      <w:r>
        <w:rPr>
          <w:iCs/>
        </w:rPr>
        <w:t xml:space="preserve">On cherche à élaborer un plan national d'action pour la protection du crapaud sonneur à ventre jaune. </w:t>
      </w:r>
      <w:r>
        <w:rPr/>
        <w:t>Proposer différentes mesures permettant d'éviter l'extinction de cette espèce, en se basant sur les documents 1, 2 et 3 et vos connaissances.</w:t>
      </w:r>
    </w:p>
    <w:p>
      <w:pPr>
        <w:pStyle w:val="Normal"/>
        <w:ind w:left="0" w:hanging="0"/>
        <w:rPr/>
      </w:pPr>
      <w:r>
        <w:rPr/>
      </w:r>
    </w:p>
    <w:p>
      <w:pPr>
        <w:pStyle w:val="Normal"/>
        <w:pBdr>
          <w:top w:val="single" w:sz="4" w:space="1" w:color="000000"/>
          <w:left w:val="single" w:sz="4" w:space="4" w:color="000000"/>
          <w:bottom w:val="single" w:sz="4" w:space="1" w:color="000000"/>
          <w:right w:val="single" w:sz="4" w:space="4" w:color="000000"/>
        </w:pBdr>
        <w:ind w:left="0" w:hanging="0"/>
        <w:rPr/>
      </w:pPr>
      <w:r>
        <w:rPr>
          <w:b/>
          <w:bCs/>
        </w:rPr>
        <w:t>Document 3 : le crapaud sonneur à ventre jaune, mesures relatives à sa conservation.</w:t>
      </w:r>
    </w:p>
    <w:p>
      <w:pPr>
        <w:pStyle w:val="Normal"/>
        <w:pBdr>
          <w:top w:val="single" w:sz="4" w:space="1" w:color="000000"/>
          <w:left w:val="single" w:sz="4" w:space="4" w:color="000000"/>
          <w:bottom w:val="single" w:sz="4" w:space="1" w:color="000000"/>
          <w:right w:val="single" w:sz="4" w:space="4" w:color="000000"/>
        </w:pBdr>
        <w:ind w:left="0" w:hanging="0"/>
        <w:jc w:val="both"/>
        <w:rPr/>
      </w:pPr>
      <w:r>
        <w:rPr/>
        <w:t>Afin de travailler à la conservation du sonneur à ventre jaune </w:t>
      </w:r>
      <w:r>
        <w:rPr>
          <w:i/>
        </w:rPr>
        <w:t>(Bombina variegata)</w:t>
      </w:r>
      <w:r>
        <w:rPr/>
        <w:t> dont le statut est critique en Normandie, l’Union régionale des Centres permanents d’initiatives pour l’environnement de Normandie propose la mise en place d’un élevage conservatoire de cinq années </w:t>
      </w:r>
      <w:r>
        <w:rPr>
          <w:i/>
        </w:rPr>
        <w:t>(2018-2023)</w:t>
      </w:r>
      <w:r>
        <w:rPr/>
        <w:t> permettant, d’une part, de protéger un groupe d’individus d’éventuelles menaces pouvant affecter le site de prélèvement et, d’autre part, d’optimiser la reproduction des géniteurs afin de tenter la réintroduction dans deux sites restaurés dans le département de l’Eure.</w:t>
      </w:r>
    </w:p>
    <w:p>
      <w:pPr>
        <w:pStyle w:val="Normal"/>
        <w:pBdr>
          <w:top w:val="single" w:sz="4" w:space="1" w:color="000000"/>
          <w:left w:val="single" w:sz="4" w:space="4" w:color="000000"/>
          <w:bottom w:val="single" w:sz="4" w:space="1" w:color="000000"/>
          <w:right w:val="single" w:sz="4" w:space="4" w:color="000000"/>
        </w:pBdr>
        <w:ind w:left="0" w:hanging="0"/>
        <w:rPr/>
      </w:pPr>
      <w:r>
        <w:rPr/>
        <w:t>L’élevage conservatoire s’articule en 3 étapes</w:t>
      </w:r>
      <w:r>
        <w:rPr>
          <w:bCs/>
        </w:rPr>
        <w:t> :</w:t>
      </w:r>
    </w:p>
    <w:p>
      <w:pPr>
        <w:pStyle w:val="Normal"/>
        <w:pBdr>
          <w:top w:val="single" w:sz="4" w:space="1" w:color="000000"/>
          <w:left w:val="single" w:sz="4" w:space="4" w:color="000000"/>
          <w:bottom w:val="single" w:sz="4" w:space="1" w:color="000000"/>
          <w:right w:val="single" w:sz="4" w:space="4" w:color="000000"/>
        </w:pBdr>
        <w:ind w:left="0" w:hanging="0"/>
        <w:rPr/>
      </w:pPr>
      <w:r>
        <w:rPr/>
        <w:t>1/ prélèvement d’un groupe de 20 adultes du site de l’Eure ; élevage et reproduction en conditions contrôlées. Le nombre de spécimens prélevés permet de garantir la diversité génétique de la population d’origine ;</w:t>
      </w:r>
    </w:p>
    <w:p>
      <w:pPr>
        <w:pStyle w:val="Normal"/>
        <w:pBdr>
          <w:top w:val="single" w:sz="4" w:space="1" w:color="000000"/>
          <w:left w:val="single" w:sz="4" w:space="4" w:color="000000"/>
          <w:bottom w:val="single" w:sz="4" w:space="1" w:color="000000"/>
          <w:right w:val="single" w:sz="4" w:space="4" w:color="000000"/>
        </w:pBdr>
        <w:ind w:left="0" w:hanging="0"/>
        <w:rPr/>
      </w:pPr>
      <w:r>
        <w:rPr/>
        <w:t>2/ libération de 10 % des individus issus de la reproduction de ce groupe dans la population d’origine ;</w:t>
      </w:r>
    </w:p>
    <w:p>
      <w:pPr>
        <w:pStyle w:val="Normal"/>
        <w:pBdr>
          <w:top w:val="single" w:sz="4" w:space="1" w:color="000000"/>
          <w:left w:val="single" w:sz="4" w:space="4" w:color="000000"/>
          <w:bottom w:val="single" w:sz="4" w:space="1" w:color="000000"/>
          <w:right w:val="single" w:sz="4" w:space="4" w:color="000000"/>
        </w:pBdr>
        <w:ind w:left="0" w:hanging="0"/>
        <w:rPr/>
      </w:pPr>
      <w:r>
        <w:rPr/>
        <w:t>3/ réintroduction de l’espèce </w:t>
      </w:r>
      <w:r>
        <w:rPr>
          <w:i/>
        </w:rPr>
        <w:t>(minimum 2000 et 2500 juvéniles)</w:t>
      </w:r>
      <w:r>
        <w:rPr/>
        <w:t> sur 2 sites favorables identifiés afin de tenter de restaurer une population stable.</w:t>
      </w:r>
    </w:p>
    <w:p>
      <w:pPr>
        <w:pStyle w:val="Normal"/>
        <w:pBdr>
          <w:top w:val="single" w:sz="4" w:space="1" w:color="000000"/>
          <w:left w:val="single" w:sz="4" w:space="4" w:color="000000"/>
          <w:bottom w:val="single" w:sz="4" w:space="1" w:color="000000"/>
          <w:right w:val="single" w:sz="4" w:space="4" w:color="000000"/>
        </w:pBdr>
        <w:spacing w:before="0" w:after="160"/>
        <w:ind w:left="0" w:hanging="0"/>
        <w:jc w:val="right"/>
        <w:rPr>
          <w:sz w:val="16"/>
          <w:szCs w:val="16"/>
        </w:rPr>
      </w:pPr>
      <w:r>
        <w:rPr>
          <w:b/>
          <w:bCs/>
          <w:sz w:val="16"/>
          <w:szCs w:val="16"/>
        </w:rPr>
        <w:t>D’après</w:t>
      </w:r>
      <w:r>
        <w:rPr>
          <w:sz w:val="16"/>
          <w:szCs w:val="16"/>
        </w:rPr>
        <w:t xml:space="preserve"> </w:t>
      </w:r>
      <w:hyperlink r:id="rId7">
        <w:r>
          <w:rPr>
            <w:rStyle w:val="LienInternet"/>
            <w:i/>
            <w:sz w:val="16"/>
            <w:szCs w:val="16"/>
          </w:rPr>
          <w:t>http://www.normandie.developpement-durable.gouv.fr/ur-cpie-sonneur-a-ventre-jaune-27-derogation-a2589.html</w:t>
        </w:r>
      </w:hyperlink>
    </w:p>
    <w:sectPr>
      <w:headerReference w:type="default" r:id="rId8"/>
      <w:footerReference w:type="default" r:id="rId9"/>
      <w:type w:val="nextPage"/>
      <w:pgSz w:w="11906" w:h="16838"/>
      <w:pgMar w:left="851" w:right="851" w:gutter="0" w:header="851" w:top="1432" w:footer="851" w:bottom="141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center"/>
      <w:rPr>
        <w:color w:val="666666"/>
      </w:rPr>
    </w:pPr>
    <w:r>
      <w:rPr>
        <w:color w:val="666666"/>
      </w:rPr>
      <w:fldChar w:fldCharType="begin"/>
    </w:r>
    <w:r>
      <w:rPr>
        <w:color w:val="666666"/>
      </w:rPr>
      <w:instrText xml:space="preserve"> PAGE </w:instrText>
    </w:r>
    <w:r>
      <w:rPr>
        <w:color w:val="666666"/>
      </w:rPr>
      <w:fldChar w:fldCharType="separate"/>
    </w:r>
    <w:r>
      <w:rPr>
        <w:color w:val="666666"/>
      </w:rPr>
      <w:t>2</w:t>
    </w:r>
    <w:r>
      <w:rPr>
        <w:color w:val="66666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color w:val="666666"/>
      </w:rPr>
    </w:pPr>
    <w:r>
      <w:rPr>
        <w:color w:val="666666"/>
      </w:rPr>
      <w:t>Une histoire du vivant – Term - Le crapaud sonneur à ventre jaune</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Lien Internet"/>
    <w:basedOn w:val="DefaultParagraphFont"/>
    <w:uiPriority w:val="99"/>
    <w:unhideWhenUsed/>
    <w:rsid w:val="0064507c"/>
    <w:rPr>
      <w:color w:val="0000FF" w:themeColor="hyperlink"/>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ListParagraph">
    <w:name w:val="List Paragraph"/>
    <w:basedOn w:val="Normal"/>
    <w:uiPriority w:val="34"/>
    <w:qFormat/>
    <w:rsid w:val="0064507c"/>
    <w:pPr>
      <w:spacing w:before="0" w:after="16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www.normandie.developpement-durable.gouv.fr/ur-cpie-sonneur-a-ventre-jaune-27-derogation-a2589.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LibreOffice/7.3.1.3$Linux_X86_64 LibreOffice_project/30$Build-3</Application>
  <AppVersion>15.0000</AppVersion>
  <Pages>3</Pages>
  <Words>754</Words>
  <Characters>4100</Characters>
  <CharactersWithSpaces>4830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2021-04-17T07:57:00Z</dcterms:created>
  <dc:creator/>
  <dc:description/>
  <dc:language>fr-FR</dc:language>
  <cp:lastModifiedBy/>
  <dcterms:modified xsi:type="dcterms:W3CDTF">2022-04-12T14:17:00Z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