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0" w:after="0"/>
        <w:ind w:left="0" w:hanging="0"/>
        <w:jc w:val="center"/>
        <w:rPr/>
      </w:pPr>
      <w:r>
        <w:rPr/>
        <w:t>L’empreinte carbone des appareils électroménagers</w:t>
      </w:r>
      <w:r>
        <w:rPr>
          <w:i/>
          <w:iCs/>
        </w:rPr>
        <w:t xml:space="preserve"> </w:t>
      </w:r>
    </w:p>
    <w:p>
      <w:pPr>
        <w:pStyle w:val="Normal"/>
        <w:spacing w:lineRule="auto" w:line="276" w:before="0" w:after="160"/>
        <w:ind w:left="0" w:hanging="0"/>
        <w:contextualSpacing/>
        <w:jc w:val="both"/>
        <w:rPr>
          <w:rFonts w:eastAsia="Times New Roman" w:cs="Arial"/>
          <w:color w:val="000000"/>
          <w:highlight w:val="white"/>
        </w:rPr>
      </w:pPr>
      <w:r>
        <w:rPr/>
      </w:r>
    </w:p>
    <w:p>
      <w:pPr>
        <w:pStyle w:val="Normal"/>
        <w:spacing w:lineRule="auto" w:line="276" w:before="0" w:after="160"/>
        <w:ind w:left="0" w:hanging="0"/>
        <w:contextualSpacing/>
        <w:jc w:val="both"/>
        <w:rPr>
          <w:rFonts w:eastAsia="Times New Roman" w:cs="Arial"/>
          <w:color w:val="000000"/>
          <w:highlight w:val="white"/>
        </w:rPr>
      </w:pPr>
      <w:r>
        <w:rPr/>
      </w:r>
    </w:p>
    <w:p>
      <w:pPr>
        <w:pStyle w:val="Normal"/>
        <w:spacing w:lineRule="auto" w:line="276" w:before="0" w:after="160"/>
        <w:ind w:left="0" w:hanging="0"/>
        <w:contextualSpacing/>
        <w:jc w:val="both"/>
        <w:rPr/>
      </w:pPr>
      <w:r>
        <w:rPr>
          <w:rFonts w:eastAsia="Times New Roman" w:cs="Arial"/>
          <w:color w:val="000000"/>
          <w:highlight w:val="white"/>
        </w:rPr>
        <w:t xml:space="preserve">Pour établir l’empreinte carbone de ces appareils, les scientifiques </w:t>
      </w:r>
      <w:r>
        <w:rPr>
          <w:rFonts w:eastAsia="Times New Roman" w:cs="Arial"/>
          <w:color w:val="000000"/>
          <w:highlight w:val="white"/>
          <w:lang w:bidi="hi-IN"/>
        </w:rPr>
        <w:t>ont utilisé</w:t>
      </w:r>
      <w:r>
        <w:rPr>
          <w:rFonts w:eastAsia="Times New Roman" w:cs="Arial"/>
          <w:color w:val="000000"/>
          <w:highlight w:val="white"/>
        </w:rPr>
        <w:t xml:space="preserve"> des données concernant à la fois la production des matières premières servant à leur fabrication mais aussi </w:t>
      </w:r>
      <w:r>
        <w:rPr>
          <w:rFonts w:eastAsia="Times New Roman" w:cs="Arial"/>
          <w:color w:val="000000"/>
        </w:rPr>
        <w:t>leur collecte et leur recyclage, lors de leur fin de vie.</w:t>
      </w:r>
    </w:p>
    <w:tbl>
      <w:tblPr>
        <w:tblW w:w="8283" w:type="dxa"/>
        <w:jc w:val="left"/>
        <w:tblInd w:w="710" w:type="dxa"/>
        <w:tblLayout w:type="fixed"/>
        <w:tblCellMar>
          <w:top w:w="55" w:type="dxa"/>
          <w:left w:w="55" w:type="dxa"/>
          <w:bottom w:w="55" w:type="dxa"/>
          <w:right w:w="55" w:type="dxa"/>
        </w:tblCellMar>
        <w:tblLook w:val="04a0" w:noHBand="0" w:noVBand="1" w:firstColumn="1" w:lastRow="0" w:lastColumn="0" w:firstRow="1"/>
      </w:tblPr>
      <w:tblGrid>
        <w:gridCol w:w="8283"/>
      </w:tblGrid>
      <w:tr>
        <w:trPr>
          <w:trHeight w:val="5836" w:hRule="atLeast"/>
        </w:trPr>
        <w:tc>
          <w:tcPr>
            <w:tcW w:w="82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ind w:left="0" w:hanging="0"/>
              <w:rPr>
                <w:b/>
                <w:b/>
                <w:bCs/>
              </w:rPr>
            </w:pPr>
            <w:r>
              <mc:AlternateContent>
                <mc:Choice Requires="wps">
                  <w:drawing>
                    <wp:anchor behindDoc="0" distT="0" distB="0" distL="0" distR="0" simplePos="0" locked="0" layoutInCell="1" allowOverlap="1" relativeHeight="3" wp14:anchorId="71DEF3D3">
                      <wp:simplePos x="0" y="0"/>
                      <wp:positionH relativeFrom="column">
                        <wp:posOffset>10160</wp:posOffset>
                      </wp:positionH>
                      <wp:positionV relativeFrom="paragraph">
                        <wp:posOffset>586740</wp:posOffset>
                      </wp:positionV>
                      <wp:extent cx="5168900" cy="3182620"/>
                      <wp:effectExtent l="0" t="0" r="0" b="0"/>
                      <wp:wrapSquare wrapText="bothSides"/>
                      <wp:docPr id="1" name="Image1"/>
                      <a:graphic xmlns:a="http://schemas.openxmlformats.org/drawingml/2006/main">
                        <a:graphicData uri="http://schemas.openxmlformats.org/drawingml/2006/picture">
                          <pic:pic xmlns:pic="http://schemas.openxmlformats.org/drawingml/2006/picture">
                            <pic:nvPicPr>
                              <pic:cNvPr id="0" name="Image1" descr=""/>
                              <pic:cNvPicPr/>
                            </pic:nvPicPr>
                            <pic:blipFill>
                              <a:blip r:embed="rId2">
                                <a:grayscl/>
                                <a:extLst>
                                  <a:ext uri="{BEBA8EAE-BF5A-486C-A8C5-ECC9F3942E4B}">
                                    <a14:imgProps xmlns:a14="http://schemas.microsoft.com/office/drawing/2010/main">
                                      <a14:imgLayer r:embed="rId3">
                                        <a14:imgEffect>
                                          <a14:sharpenSoften amount="50000"/>
                                        </a14:imgEffect>
                                      </a14:imgLayer>
                                    </a14:imgProps>
                                  </a:ext>
                                </a:extLst>
                              </a:blip>
                              <a:stretch/>
                            </pic:blipFill>
                            <pic:spPr>
                              <a:xfrm>
                                <a:off x="0" y="0"/>
                                <a:ext cx="5168880" cy="31827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o:allowincell="t" style="position:absolute;margin-left:0.8pt;margin-top:46.2pt;width:406.95pt;height:250.55pt;mso-wrap-style:none;v-text-anchor:middle" wp14:anchorId="71DEF3D3" type="_x0000_t75">
                      <v:imagedata r:id="rId2" o:detectmouseclick="t"/>
                      <v:stroke color="#3465a4" joinstyle="round" endcap="flat"/>
                      <w10:wrap type="square"/>
                    </v:shape>
                  </w:pict>
                </mc:Fallback>
              </mc:AlternateContent>
            </w:r>
            <w:r>
              <w:rPr>
                <w:rFonts w:eastAsia="Times New Roman" w:cs="Arial"/>
                <w:b/>
                <w:bCs/>
                <w:u w:val="single"/>
              </w:rPr>
              <w:t>Document 1</w:t>
            </w:r>
            <w:r>
              <w:rPr>
                <w:rFonts w:eastAsia="Times New Roman" w:cs="Arial"/>
                <w:b/>
                <w:bCs/>
              </w:rPr>
              <w:t xml:space="preserve"> : empreinte carbone de quelques appareils domestiques </w:t>
            </w:r>
            <w:r>
              <w:rPr>
                <w:rFonts w:eastAsia="Times New Roman" w:cs="Arial"/>
                <w:b/>
                <w:bCs/>
                <w:color w:val="000000"/>
                <w:highlight w:val="white"/>
              </w:rPr>
              <w:t>électroménagers</w:t>
            </w:r>
            <w:r>
              <w:rPr>
                <w:rFonts w:eastAsia="Times New Roman" w:cs="Arial"/>
                <w:b/>
                <w:bCs/>
              </w:rPr>
              <w:t>.</w:t>
            </w:r>
          </w:p>
        </w:tc>
      </w:tr>
    </w:tbl>
    <w:p>
      <w:pPr>
        <w:pStyle w:val="Normal"/>
        <w:widowControl/>
        <w:bidi w:val="0"/>
        <w:spacing w:lineRule="auto" w:line="276" w:before="0" w:after="160"/>
        <w:ind w:left="680" w:right="1134" w:hanging="0"/>
        <w:jc w:val="left"/>
        <w:rPr>
          <w:rFonts w:eastAsia="Times New Roman" w:cs="Arial"/>
          <w:sz w:val="20"/>
          <w:szCs w:val="20"/>
        </w:rPr>
      </w:pPr>
      <w:r>
        <w:rPr>
          <w:rFonts w:eastAsia="Times New Roman" w:cs="Arial"/>
          <w:sz w:val="20"/>
          <w:szCs w:val="20"/>
        </w:rPr>
        <w:t xml:space="preserve">Source : J. Lhotellier, E. Less, E. Bossanne, S. Pesnel. (2018). </w:t>
      </w:r>
      <w:r>
        <w:rPr>
          <w:rFonts w:eastAsia="Times New Roman" w:cs="Arial"/>
          <w:i/>
          <w:iCs/>
          <w:sz w:val="20"/>
          <w:szCs w:val="20"/>
        </w:rPr>
        <w:t xml:space="preserve">Modélisation et évaluation ACV de produits de consommation et biens d’équipement. </w:t>
      </w:r>
      <w:r>
        <w:rPr>
          <w:rFonts w:eastAsia="Times New Roman" w:cs="Arial"/>
          <w:sz w:val="20"/>
          <w:szCs w:val="20"/>
        </w:rPr>
        <w:t xml:space="preserve">Rapport de l’ADEME. </w:t>
      </w:r>
    </w:p>
    <w:p>
      <w:pPr>
        <w:pStyle w:val="Normal"/>
        <w:spacing w:lineRule="auto" w:line="276"/>
        <w:ind w:left="0" w:hanging="0"/>
        <w:rPr>
          <w:rFonts w:eastAsia="Times New Roman" w:cs="Arial"/>
          <w:color w:val="000000"/>
        </w:rPr>
      </w:pPr>
      <w:r>
        <w:rPr/>
      </w:r>
    </w:p>
    <w:p>
      <w:pPr>
        <w:pStyle w:val="Normal"/>
        <w:spacing w:lineRule="auto" w:line="276"/>
        <w:ind w:left="0" w:hanging="0"/>
        <w:rPr>
          <w:rFonts w:eastAsia="Times New Roman" w:cs="Arial"/>
          <w:color w:val="000000"/>
        </w:rPr>
      </w:pPr>
      <w:r>
        <w:rPr>
          <w:rFonts w:eastAsia="Times New Roman" w:cs="Arial"/>
          <w:b/>
          <w:bCs/>
          <w:color w:val="000000"/>
          <w:lang w:bidi="hi-IN"/>
        </w:rPr>
        <w:t>1-</w:t>
      </w:r>
      <w:r>
        <w:rPr>
          <w:rFonts w:eastAsia="Times New Roman" w:cs="Arial"/>
          <w:color w:val="000000"/>
          <w:lang w:bidi="hi-IN"/>
        </w:rPr>
        <w:t xml:space="preserve"> Donner la définition de</w:t>
      </w:r>
      <w:r>
        <w:rPr>
          <w:rFonts w:eastAsia="Times New Roman" w:cs="Arial"/>
          <w:color w:val="000000"/>
        </w:rPr>
        <w:t xml:space="preserve"> l’empreinte carbone d'une activité.</w:t>
      </w:r>
    </w:p>
    <w:p>
      <w:pPr>
        <w:pStyle w:val="Normal"/>
        <w:spacing w:lineRule="auto" w:line="276"/>
        <w:ind w:left="0" w:hanging="0"/>
        <w:jc w:val="both"/>
        <w:rPr>
          <w:rFonts w:eastAsia="Times New Roman" w:cs="Arial"/>
          <w:color w:val="000000"/>
        </w:rPr>
      </w:pPr>
      <w:r>
        <w:rPr/>
      </w:r>
    </w:p>
    <w:p>
      <w:pPr>
        <w:pStyle w:val="Normal"/>
        <w:spacing w:lineRule="auto" w:line="276"/>
        <w:ind w:left="0" w:hanging="0"/>
        <w:jc w:val="both"/>
        <w:rPr>
          <w:rFonts w:eastAsia="Times New Roman" w:cs="Arial"/>
          <w:color w:val="000000"/>
        </w:rPr>
      </w:pPr>
      <w:r>
        <w:rPr>
          <w:rFonts w:eastAsia="Times New Roman" w:cs="Arial"/>
          <w:b/>
          <w:bCs/>
          <w:color w:val="000000"/>
        </w:rPr>
        <w:t xml:space="preserve">2- </w:t>
      </w:r>
      <w:r>
        <w:rPr>
          <w:rFonts w:eastAsia="Times New Roman" w:cs="Arial"/>
          <w:color w:val="000000"/>
        </w:rPr>
        <w:t>À partir du document 1, citer les deux plus importantes contributions au réchauffement climatique d’un appareil électroménager au cours de son cycle de vie.</w:t>
      </w:r>
    </w:p>
    <w:p>
      <w:pPr>
        <w:pStyle w:val="Normal"/>
        <w:spacing w:lineRule="auto" w:line="276"/>
        <w:ind w:left="0" w:hanging="0"/>
        <w:jc w:val="both"/>
        <w:rPr>
          <w:rFonts w:eastAsia="Times New Roman" w:cs="Arial"/>
          <w:color w:val="000000"/>
        </w:rPr>
      </w:pPr>
      <w:r>
        <w:rPr/>
      </w:r>
      <w:r>
        <w:br w:type="page"/>
      </w:r>
    </w:p>
    <w:p>
      <w:pPr>
        <w:pStyle w:val="Normal"/>
        <w:spacing w:lineRule="auto" w:line="276"/>
        <w:ind w:left="0" w:hanging="0"/>
        <w:jc w:val="both"/>
        <w:rPr>
          <w:rFonts w:eastAsia="Times New Roman" w:cs="Arial"/>
          <w:color w:val="000000"/>
        </w:rPr>
      </w:pPr>
      <w:r>
        <w:rPr>
          <w:rFonts w:eastAsia="Times New Roman" w:cs="Arial"/>
          <w:b/>
          <w:bCs/>
          <w:color w:val="000000" w:themeColor="text1"/>
        </w:rPr>
        <w:t xml:space="preserve">3- </w:t>
      </w:r>
      <w:r>
        <w:rPr>
          <w:rFonts w:eastAsia="Times New Roman" w:cs="Arial"/>
          <w:color w:val="000000" w:themeColor="text1"/>
        </w:rPr>
        <w:t>À partir du document 1, citer la contribution du cycle de vie d’un appareil électroménager qui diminue son empreinte carbone. Justifier la réponse.</w:t>
      </w:r>
    </w:p>
    <w:tbl>
      <w:tblPr>
        <w:tblW w:w="8519" w:type="dxa"/>
        <w:jc w:val="left"/>
        <w:tblInd w:w="621" w:type="dxa"/>
        <w:tblLayout w:type="fixed"/>
        <w:tblCellMar>
          <w:top w:w="55" w:type="dxa"/>
          <w:left w:w="55" w:type="dxa"/>
          <w:bottom w:w="55" w:type="dxa"/>
          <w:right w:w="55" w:type="dxa"/>
        </w:tblCellMar>
        <w:tblLook w:val="04a0" w:noHBand="0" w:noVBand="1" w:firstColumn="1" w:lastRow="0" w:lastColumn="0" w:firstRow="1"/>
      </w:tblPr>
      <w:tblGrid>
        <w:gridCol w:w="8519"/>
      </w:tblGrid>
      <w:tr>
        <w:trPr>
          <w:trHeight w:val="3237" w:hRule="atLeast"/>
        </w:trPr>
        <w:tc>
          <w:tcPr>
            <w:tcW w:w="85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ind w:left="0" w:hanging="0"/>
              <w:contextualSpacing/>
              <w:jc w:val="both"/>
              <w:rPr>
                <w:rFonts w:eastAsia="Times New Roman" w:cs="Arial"/>
                <w:b/>
                <w:b/>
                <w:bCs/>
                <w:color w:val="000000"/>
              </w:rPr>
            </w:pPr>
            <w:r>
              <w:rPr>
                <w:rFonts w:eastAsia="Times New Roman" w:cs="Arial"/>
                <w:b/>
                <w:bCs/>
                <w:color w:val="000000"/>
                <w:u w:val="single"/>
              </w:rPr>
              <w:t>Document 2</w:t>
            </w:r>
            <w:r>
              <w:rPr>
                <w:rFonts w:eastAsia="Times New Roman" w:cs="Arial"/>
                <w:b/>
                <w:bCs/>
                <w:color w:val="000000"/>
              </w:rPr>
              <w:t xml:space="preserve"> : projection de l’évolution des ventes de produits de gros électroménagers et de l’évolution du nombre de leurs réparations dans les prochaines années en France.</w:t>
            </w:r>
          </w:p>
          <w:p>
            <w:pPr>
              <w:pStyle w:val="Normal"/>
              <w:widowControl w:val="false"/>
              <w:spacing w:lineRule="auto" w:line="276" w:before="0" w:after="0"/>
              <w:ind w:left="0" w:hanging="0"/>
              <w:contextualSpacing/>
              <w:rPr/>
            </w:pPr>
            <w:r>
              <w:rPr/>
              <w:drawing>
                <wp:inline distT="0" distB="0" distL="0" distR="0">
                  <wp:extent cx="5339715" cy="14103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339715" cy="1410335"/>
                          </a:xfrm>
                          <a:prstGeom prst="rect">
                            <a:avLst/>
                          </a:prstGeom>
                        </pic:spPr>
                      </pic:pic>
                    </a:graphicData>
                  </a:graphic>
                </wp:inline>
              </w:drawing>
            </w:r>
          </w:p>
        </w:tc>
      </w:tr>
    </w:tbl>
    <w:p>
      <w:pPr>
        <w:pStyle w:val="Normal"/>
        <w:spacing w:lineRule="auto" w:line="276"/>
        <w:jc w:val="both"/>
        <w:rPr>
          <w:rFonts w:eastAsia="Times New Roman" w:cs="Arial"/>
          <w:sz w:val="20"/>
          <w:szCs w:val="20"/>
        </w:rPr>
      </w:pPr>
      <w:r>
        <w:rPr>
          <w:rFonts w:eastAsia="Times New Roman" w:cs="Arial"/>
          <w:sz w:val="20"/>
          <w:szCs w:val="20"/>
        </w:rPr>
        <w:t xml:space="preserve">Source : </w:t>
      </w:r>
      <w:r>
        <w:rPr>
          <w:rFonts w:eastAsia="Arial" w:cs="Arial"/>
          <w:sz w:val="20"/>
          <w:szCs w:val="20"/>
        </w:rPr>
        <w:t xml:space="preserve">Benoît TINETTI, Anton BERWALD, Victoire SENLIS. </w:t>
      </w:r>
      <w:r>
        <w:rPr>
          <w:rFonts w:eastAsia="Times New Roman" w:cs="Arial"/>
          <w:sz w:val="20"/>
          <w:szCs w:val="20"/>
        </w:rPr>
        <w:t>(2018). É</w:t>
      </w:r>
      <w:r>
        <w:rPr>
          <w:rFonts w:eastAsia="Arial" w:cs="Arial"/>
          <w:i/>
          <w:iCs/>
          <w:sz w:val="20"/>
          <w:szCs w:val="20"/>
        </w:rPr>
        <w:t>tat des lieux de l’activité de réparation des appareils électroménagers dans sa relation au produit et à la filière. Rap</w:t>
      </w:r>
      <w:r>
        <w:rPr>
          <w:rFonts w:eastAsia="Times New Roman" w:cs="Arial"/>
          <w:i/>
          <w:iCs/>
          <w:sz w:val="20"/>
          <w:szCs w:val="20"/>
        </w:rPr>
        <w:t>po</w:t>
      </w:r>
      <w:r>
        <w:rPr>
          <w:rFonts w:eastAsia="Times New Roman" w:cs="Arial"/>
          <w:sz w:val="20"/>
          <w:szCs w:val="20"/>
        </w:rPr>
        <w:t>rt final, phase 2. GIFAM, ADEME.</w:t>
      </w:r>
    </w:p>
    <w:p>
      <w:pPr>
        <w:pStyle w:val="Normal"/>
        <w:spacing w:lineRule="auto" w:line="276"/>
        <w:ind w:left="0" w:hanging="0"/>
        <w:jc w:val="both"/>
        <w:rPr>
          <w:rFonts w:eastAsia="Times New Roman" w:cs="Arial"/>
          <w:b/>
          <w:b/>
          <w:bCs/>
          <w:color w:val="000000" w:themeColor="text1"/>
        </w:rPr>
      </w:pPr>
      <w:r>
        <w:rPr/>
      </w:r>
    </w:p>
    <w:p>
      <w:pPr>
        <w:pStyle w:val="Normal"/>
        <w:spacing w:lineRule="auto" w:line="276"/>
        <w:ind w:left="0" w:hanging="0"/>
        <w:jc w:val="both"/>
        <w:rPr/>
      </w:pPr>
      <w:r>
        <w:rPr>
          <w:rFonts w:eastAsia="Times New Roman" w:cs="Arial"/>
          <w:b/>
          <w:bCs/>
          <w:color w:val="000000" w:themeColor="text1"/>
        </w:rPr>
        <w:t>4.</w:t>
      </w:r>
      <w:r>
        <w:rPr>
          <w:rFonts w:eastAsia="Times New Roman" w:cs="Arial"/>
          <w:color w:val="000000" w:themeColor="text1"/>
        </w:rPr>
        <w:t xml:space="preserve"> À</w:t>
      </w:r>
      <w:bookmarkStart w:id="0" w:name="__DdeLink__2539_407073035"/>
      <w:r>
        <w:rPr>
          <w:rFonts w:eastAsia="Times New Roman" w:cs="Arial"/>
          <w:color w:val="000000" w:themeColor="text1"/>
        </w:rPr>
        <w:t xml:space="preserve"> partir du document 2, montrer que le taux de variation des ventes de produits de gros électroménagers est de + 1,32 % entre 2016 et 2025, et que celui du nombre de réparations est de – 21,4 %.</w:t>
      </w:r>
      <w:bookmarkEnd w:id="0"/>
    </w:p>
    <w:p>
      <w:pPr>
        <w:pStyle w:val="Normal"/>
        <w:pBdr>
          <w:top w:val="single" w:sz="4" w:space="1" w:color="000000"/>
          <w:left w:val="single" w:sz="4" w:space="4" w:color="000000"/>
          <w:bottom w:val="single" w:sz="4" w:space="1" w:color="000000"/>
          <w:right w:val="single" w:sz="4" w:space="4" w:color="000000"/>
        </w:pBdr>
        <w:spacing w:lineRule="auto" w:line="276" w:before="0" w:after="160"/>
        <w:ind w:left="0" w:hanging="0"/>
        <w:contextualSpacing/>
        <w:rPr>
          <w:b/>
          <w:b/>
          <w:bCs/>
        </w:rPr>
      </w:pPr>
      <w:r>
        <w:rPr>
          <w:rFonts w:eastAsia="Times New Roman" w:cs="Arial"/>
          <w:b/>
          <w:bCs/>
          <w:color w:val="000000"/>
          <w:u w:val="single"/>
        </w:rPr>
        <w:t>Document 3</w:t>
      </w:r>
      <w:r>
        <w:rPr>
          <w:rFonts w:eastAsia="Times New Roman" w:cs="Arial"/>
          <w:b/>
          <w:bCs/>
          <w:color w:val="000000"/>
        </w:rPr>
        <w:t xml:space="preserve"> : extrait d’un rapport</w:t>
      </w:r>
      <w:r>
        <w:rPr>
          <w:rFonts w:eastAsia="Arial" w:cs="Arial"/>
          <w:b/>
          <w:bCs/>
          <w:color w:val="000000"/>
        </w:rPr>
        <w:t xml:space="preserve"> d’enquête sur les enjeux et solutions en matière de durabilité́ d’un lave-linge.</w:t>
      </w:r>
    </w:p>
    <w:p>
      <w:pPr>
        <w:pStyle w:val="Normal"/>
        <w:pBdr>
          <w:top w:val="single" w:sz="4" w:space="1" w:color="000000"/>
          <w:left w:val="single" w:sz="4" w:space="4" w:color="000000"/>
          <w:bottom w:val="single" w:sz="4" w:space="1" w:color="000000"/>
          <w:right w:val="single" w:sz="4" w:space="4" w:color="000000"/>
        </w:pBdr>
        <w:spacing w:lineRule="auto" w:line="276" w:before="0" w:after="0"/>
        <w:ind w:left="0" w:hanging="0"/>
        <w:jc w:val="both"/>
        <w:rPr/>
      </w:pPr>
      <w:r>
        <w:rPr/>
        <w:t>« Sachant qu’un lave-linge pèse en moyenne 70 kg, comment expliquer qu’il faille 2 tonnes de matières mobilisées ? Un lave-linge contient en moyenne 1,4 kg de cuivre par exemple. C’est une ressource rare et difficile à extraire. Il faut compter 8 tonnes de roches déplacées pour obtenir un seul kilo de cuivre. Cette ressource pèse donc en fait lourd sur son bilan écologique. Plus la vie d’un lave-linge sera longue, plus son impact écologique sera réduit car cela évite tout simplement la production d’un appareil neuf. »</w:t>
      </w:r>
    </w:p>
    <w:p>
      <w:pPr>
        <w:pStyle w:val="Normal"/>
        <w:spacing w:lineRule="auto" w:line="276" w:before="0" w:after="0"/>
        <w:ind w:left="0" w:hanging="0"/>
        <w:rPr>
          <w:sz w:val="20"/>
          <w:szCs w:val="20"/>
        </w:rPr>
      </w:pPr>
      <w:hyperlink r:id="rId5">
        <w:r>
          <w:rPr>
            <w:rFonts w:eastAsia="Arial" w:cs="Arial"/>
            <w:color w:val="000000" w:themeColor="text1"/>
            <w:sz w:val="20"/>
            <w:szCs w:val="20"/>
          </w:rPr>
          <w:t xml:space="preserve">Source : Association HOP. (septembre 2019). </w:t>
        </w:r>
        <w:r>
          <w:rPr>
            <w:rFonts w:eastAsia="Arial" w:cs="Arial"/>
            <w:i/>
            <w:iCs/>
            <w:color w:val="000000" w:themeColor="text1"/>
            <w:sz w:val="20"/>
            <w:szCs w:val="20"/>
          </w:rPr>
          <w:t>Rapport d’enquête sur les enjeux et solutions en matière de durabilité d</w:t>
        </w:r>
      </w:hyperlink>
      <w:r>
        <w:rPr>
          <w:rFonts w:eastAsia="Arial" w:cs="Arial"/>
          <w:i/>
          <w:iCs/>
          <w:color w:val="000000" w:themeColor="text1"/>
          <w:sz w:val="20"/>
          <w:szCs w:val="20"/>
        </w:rPr>
        <w:t>es lave-linge.</w:t>
      </w:r>
    </w:p>
    <w:p>
      <w:pPr>
        <w:pStyle w:val="Normal"/>
        <w:spacing w:lineRule="auto" w:line="276" w:before="0" w:after="0"/>
        <w:rPr>
          <w:rFonts w:eastAsia="Arial" w:cs="Arial"/>
          <w:color w:val="000000"/>
        </w:rPr>
      </w:pPr>
      <w:r>
        <w:rPr>
          <w:rFonts w:eastAsia="Arial" w:cs="Arial"/>
          <w:color w:val="000000"/>
        </w:rPr>
      </w:r>
    </w:p>
    <w:p>
      <w:pPr>
        <w:pStyle w:val="Normal"/>
        <w:spacing w:lineRule="auto" w:line="276"/>
        <w:ind w:left="0" w:hanging="0"/>
        <w:jc w:val="both"/>
        <w:rPr/>
      </w:pPr>
      <w:r>
        <w:rPr>
          <w:rFonts w:eastAsia="Times New Roman" w:cs="Arial"/>
          <w:b/>
          <w:color w:val="000000"/>
        </w:rPr>
        <w:t xml:space="preserve">5. </w:t>
      </w:r>
      <w:r>
        <w:rPr>
          <w:rFonts w:eastAsia="Times New Roman" w:cs="Arial"/>
          <w:color w:val="000000"/>
        </w:rPr>
        <w:t>À partir de l’ensemble des documents et des taux de variation précédents, expliquer si l’évolution du nombre de réparations permet d’envisager un abaissement de l’empreinte carbone liée aux appareils de gros électroménagers.</w:t>
      </w:r>
    </w:p>
    <w:p>
      <w:pPr>
        <w:pStyle w:val="Normal"/>
        <w:spacing w:lineRule="auto" w:line="276"/>
        <w:ind w:left="0" w:hanging="0"/>
        <w:jc w:val="both"/>
        <w:rPr>
          <w:rFonts w:eastAsia="Times New Roman" w:cs="Arial"/>
          <w:b/>
          <w:b/>
          <w:color w:val="000000"/>
        </w:rPr>
      </w:pPr>
      <w:r>
        <w:rPr/>
      </w:r>
    </w:p>
    <w:p>
      <w:pPr>
        <w:pStyle w:val="Normal"/>
        <w:spacing w:lineRule="auto" w:line="276" w:before="0" w:after="160"/>
        <w:ind w:left="0" w:hanging="0"/>
        <w:jc w:val="both"/>
        <w:rPr/>
      </w:pPr>
      <w:r>
        <w:rPr>
          <w:rFonts w:eastAsia="Times New Roman" w:cs="Arial"/>
          <w:b/>
          <w:color w:val="000000"/>
        </w:rPr>
        <w:t>6.</w:t>
      </w:r>
      <w:r>
        <w:rPr>
          <w:rFonts w:eastAsia="Times New Roman" w:cs="Arial"/>
          <w:color w:val="000000"/>
        </w:rPr>
        <w:t xml:space="preserve"> À partir de vos connaissances et des documents 1 et 3, proposer des comportements permettant de </w:t>
      </w:r>
      <w:r>
        <w:rPr>
          <w:rFonts w:eastAsia="Times New Roman" w:cs="Arial"/>
          <w:color w:val="000000"/>
          <w:lang w:bidi="hi-IN"/>
        </w:rPr>
        <w:t>minimiser</w:t>
      </w:r>
      <w:r>
        <w:rPr>
          <w:rFonts w:eastAsia="Times New Roman" w:cs="Arial"/>
          <w:color w:val="000000"/>
        </w:rPr>
        <w:t xml:space="preserve"> l’empreinte carbone d’un lave-linge.</w:t>
      </w:r>
    </w:p>
    <w:sectPr>
      <w:headerReference w:type="default" r:id="rId6"/>
      <w:type w:val="nextPage"/>
      <w:pgSz w:w="11906" w:h="16838"/>
      <w:pgMar w:left="851" w:right="851" w:gutter="0" w:header="525" w:top="1035"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jc w:val="center"/>
      <w:rPr/>
    </w:pPr>
    <w:r>
      <w:rPr/>
      <w:t>Term - Climat</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Lien Internet"/>
    <w:basedOn w:val="DefaultParagraphFont"/>
    <w:uiPriority w:val="99"/>
    <w:unhideWhenUsed/>
    <w:rsid w:val="007d49f9"/>
    <w:rPr>
      <w:color w:val="0000FF"/>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05638d"/>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png"/><Relationship Id="rId5" Type="http://schemas.openxmlformats.org/officeDocument/2006/relationships/hyperlink" Target="https://www.halteobsolescence.org/wp-content/uploads/2019/09/Rapport-lave-linge-final.pdf"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LibreOffice/7.3.5.2$Linux_X86_64 LibreOffice_project/30$Build-2</Application>
  <AppVersion>15.0000</AppVersion>
  <Pages>2</Pages>
  <Words>420</Words>
  <Characters>2248</Characters>
  <CharactersWithSpaces>2655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2021-04-16T09:35:00Z</dcterms:created>
  <dc:creator/>
  <dc:description/>
  <dc:language>fr-FR</dc:language>
  <cp:lastModifiedBy/>
  <dcterms:modified xsi:type="dcterms:W3CDTF">2022-09-10T19:05:39Z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