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jc w:val="center"/>
        <w:rPr/>
      </w:pPr>
      <w:r>
        <w:rPr>
          <w:b/>
          <w:bCs/>
          <w:sz w:val="32"/>
          <w:szCs w:val="32"/>
        </w:rPr>
        <w:t>Forçage radiatif et conséquences</w:t>
      </w:r>
    </w:p>
    <w:p>
      <w:pPr>
        <w:pStyle w:val="Normal"/>
        <w:spacing w:lineRule="auto" w:line="276"/>
        <w:ind w:left="0" w:hanging="0"/>
        <w:jc w:val="both"/>
        <w:rPr>
          <w:rFonts w:eastAsia="Arial" w:cs="Arial"/>
          <w:sz w:val="22"/>
          <w:szCs w:val="22"/>
          <w:shd w:fill="FFFFFF" w:val="clear"/>
        </w:rPr>
      </w:pPr>
      <w:r>
        <w:rPr/>
      </w:r>
    </w:p>
    <w:p>
      <w:pPr>
        <w:pStyle w:val="Normal"/>
        <w:spacing w:lineRule="auto" w:line="276"/>
        <w:ind w:left="0" w:hanging="0"/>
        <w:jc w:val="both"/>
        <w:rPr>
          <w:rFonts w:eastAsia="Arial" w:cs="Arial"/>
          <w:sz w:val="22"/>
          <w:szCs w:val="22"/>
          <w:shd w:fill="FFFFFF" w:val="clear"/>
        </w:rPr>
      </w:pPr>
      <w:r>
        <w:rPr>
          <w:rFonts w:eastAsia="Arial" w:cs="Arial"/>
          <w:sz w:val="22"/>
          <w:szCs w:val="22"/>
          <w:shd w:fill="FFFFFF" w:val="clear"/>
        </w:rPr>
        <w:t xml:space="preserve">L’Agence de la transition écologique (ADEME) publie en octobre 2020 une prévision des impacts climatiques à venir d’ici 2050 en France. Ces impacts concernent principalement l’augmentation des températures et les risques d’inondation qui en découlent. </w:t>
      </w:r>
    </w:p>
    <w:p>
      <w:pPr>
        <w:pStyle w:val="Normal"/>
        <w:spacing w:lineRule="auto" w:line="276"/>
        <w:ind w:left="0" w:hanging="0"/>
        <w:jc w:val="both"/>
        <w:rPr>
          <w:rFonts w:eastAsia="Arial" w:cs="Arial"/>
          <w:sz w:val="22"/>
          <w:szCs w:val="22"/>
          <w:shd w:fill="FFFFFF" w:val="clear"/>
        </w:rPr>
      </w:pPr>
      <w:r>
        <w:rPr>
          <w:rFonts w:eastAsia="Arial" w:cs="Arial"/>
          <w:sz w:val="22"/>
          <w:szCs w:val="22"/>
          <w:shd w:fill="FFFFFF" w:val="clear"/>
        </w:rPr>
        <w:t>L’objectif de cet exercice est de comprendre quelques effets sur le climat de la variation du forçage radiatif.</w:t>
      </w:r>
    </w:p>
    <w:p>
      <w:pPr>
        <w:pStyle w:val="Normal"/>
        <w:spacing w:lineRule="auto" w:line="276"/>
        <w:rPr>
          <w:rFonts w:eastAsia="Arial" w:cs="Arial"/>
          <w:sz w:val="22"/>
          <w:szCs w:val="22"/>
          <w:shd w:fill="FFFFFF" w:val="clear"/>
        </w:rPr>
      </w:pPr>
      <w:r>
        <w:rPr>
          <w:rFonts w:eastAsia="Arial" w:cs="Arial"/>
          <w:sz w:val="22"/>
          <w:szCs w:val="22"/>
          <w:shd w:fill="FFFFFF" w:val="clear"/>
        </w:rPr>
      </w:r>
    </w:p>
    <w:p>
      <w:pPr>
        <w:pStyle w:val="Normal"/>
        <w:spacing w:lineRule="auto" w:line="276"/>
        <w:rPr>
          <w:rFonts w:eastAsia="Arial" w:cs="Arial"/>
          <w:sz w:val="22"/>
          <w:szCs w:val="22"/>
          <w:shd w:fill="FFFFFF" w:val="clear"/>
        </w:rPr>
      </w:pPr>
      <w:r>
        <w:rPr>
          <w:rFonts w:eastAsia="Arial" w:cs="Arial"/>
          <w:b/>
          <w:color w:val="202122"/>
          <w:sz w:val="22"/>
          <w:szCs w:val="22"/>
          <w:u w:val="single"/>
          <w:shd w:fill="FFFFFF" w:val="clear"/>
        </w:rPr>
        <w:t>Document 1</w:t>
      </w:r>
      <w:r>
        <w:rPr>
          <w:rFonts w:eastAsia="Arial" w:cs="Arial"/>
          <w:bCs/>
          <w:color w:val="202122"/>
          <w:sz w:val="22"/>
          <w:szCs w:val="22"/>
          <w:shd w:fill="FFFFFF" w:val="clear"/>
        </w:rPr>
        <w:t> </w:t>
      </w:r>
      <w:r>
        <w:rPr>
          <w:rFonts w:eastAsia="Arial" w:cs="Arial"/>
          <w:b/>
          <w:color w:val="202122"/>
          <w:sz w:val="22"/>
          <w:szCs w:val="22"/>
          <w:shd w:fill="FFFFFF" w:val="clear"/>
        </w:rPr>
        <w:t>: les scénarios RCP (pour </w:t>
      </w:r>
      <w:r>
        <w:rPr>
          <w:rFonts w:eastAsia="Arial" w:cs="Arial"/>
          <w:b/>
          <w:i/>
          <w:iCs/>
          <w:color w:val="202122"/>
          <w:sz w:val="22"/>
          <w:szCs w:val="22"/>
          <w:shd w:fill="FFFFFF" w:val="clear"/>
        </w:rPr>
        <w:t>Representative Concentration Pathway</w:t>
      </w:r>
      <w:r>
        <w:rPr>
          <w:rFonts w:eastAsia="Arial" w:cs="Arial"/>
          <w:b/>
          <w:color w:val="202122"/>
          <w:sz w:val="22"/>
          <w:szCs w:val="22"/>
          <w:shd w:fill="FFFFFF" w:val="clear"/>
        </w:rPr>
        <w:t xml:space="preserve">) sont quatre scénarios de trajectoire du </w:t>
      </w:r>
      <w:r>
        <w:rPr>
          <w:rFonts w:eastAsia="Arial" w:cs="Arial"/>
          <w:b/>
          <w:sz w:val="22"/>
          <w:szCs w:val="22"/>
          <w:shd w:fill="FFFFFF" w:val="clear"/>
        </w:rPr>
        <w:t>forçage radiatif</w:t>
      </w:r>
      <w:r>
        <w:rPr>
          <w:rFonts w:eastAsia="Arial" w:cs="Arial"/>
          <w:b/>
          <w:color w:val="202122"/>
          <w:sz w:val="22"/>
          <w:szCs w:val="22"/>
          <w:shd w:fill="FFFFFF" w:val="clear"/>
        </w:rPr>
        <w:t xml:space="preserve"> jusqu'à l'horizon 2100.</w:t>
      </w:r>
    </w:p>
    <w:p>
      <w:pPr>
        <w:pStyle w:val="Normal"/>
        <w:spacing w:lineRule="auto" w:line="276"/>
        <w:ind w:left="0" w:hanging="0"/>
        <w:jc w:val="center"/>
        <w:rPr/>
      </w:pPr>
      <w:r>
        <w:rPr/>
        <mc:AlternateContent>
          <mc:Choice Requires="wpg">
            <w:drawing>
              <wp:inline distT="0" distB="0" distL="0" distR="0" wp14:anchorId="4CF27C34">
                <wp:extent cx="5509895" cy="3344545"/>
                <wp:effectExtent l="0" t="0" r="14604" b="8255"/>
                <wp:docPr id="1" name="Forme1"/>
                <a:graphic xmlns:a="http://schemas.openxmlformats.org/drawingml/2006/main">
                  <a:graphicData uri="http://schemas.microsoft.com/office/word/2010/wordprocessingGroup">
                    <wpg:wgp>
                      <wpg:cNvGrpSpPr/>
                      <wpg:grpSpPr>
                        <a:xfrm>
                          <a:off x="0" y="0"/>
                          <a:ext cx="5509800" cy="3344400"/>
                          <a:chOff x="0" y="0"/>
                          <a:chExt cx="5509800" cy="3344400"/>
                        </a:xfrm>
                      </wpg:grpSpPr>
                      <pic:pic xmlns:pic="http://schemas.openxmlformats.org/drawingml/2006/picture">
                        <pic:nvPicPr>
                          <pic:cNvPr id="0" name="Image 8" descr=""/>
                          <pic:cNvPicPr/>
                        </pic:nvPicPr>
                        <pic:blipFill>
                          <a:blip r:embed="rId2"/>
                          <a:stretch/>
                        </pic:blipFill>
                        <pic:spPr>
                          <a:xfrm>
                            <a:off x="0" y="0"/>
                            <a:ext cx="4320000" cy="3344400"/>
                          </a:xfrm>
                          <a:prstGeom prst="rect">
                            <a:avLst/>
                          </a:prstGeom>
                          <a:ln w="0">
                            <a:noFill/>
                          </a:ln>
                        </pic:spPr>
                      </pic:pic>
                      <wpg:grpSp>
                        <wpg:cNvGrpSpPr/>
                        <wpg:grpSpPr>
                          <a:xfrm>
                            <a:off x="438120" y="539640"/>
                            <a:ext cx="3569400" cy="2159640"/>
                          </a:xfrm>
                        </wpg:grpSpPr>
                        <wps:wsp>
                          <wps:cNvSpPr/>
                          <wps:spPr>
                            <a:xfrm>
                              <a:off x="0" y="349200"/>
                              <a:ext cx="3569400" cy="720"/>
                            </a:xfrm>
                            <a:prstGeom prst="line">
                              <a:avLst/>
                            </a:prstGeom>
                            <a:ln>
                              <a:solidFill>
                                <a:srgbClr val="000000">
                                  <a:lumMod val="50000"/>
                                  <a:lumOff val="50000"/>
                                </a:srgbClr>
                              </a:solidFill>
                              <a:prstDash val="dash"/>
                              <a:round/>
                            </a:ln>
                          </wps:spPr>
                          <wps:style>
                            <a:lnRef idx="1">
                              <a:schemeClr val="accent1"/>
                            </a:lnRef>
                            <a:fillRef idx="0">
                              <a:schemeClr val="accent1"/>
                            </a:fillRef>
                            <a:effectRef idx="0">
                              <a:schemeClr val="accent1"/>
                            </a:effectRef>
                            <a:fontRef idx="minor"/>
                          </wps:style>
                          <wps:bodyPr/>
                        </wps:wsp>
                        <wps:wsp>
                          <wps:cNvSpPr/>
                          <wps:spPr>
                            <a:xfrm>
                              <a:off x="0" y="0"/>
                              <a:ext cx="3569400" cy="720"/>
                            </a:xfrm>
                            <a:prstGeom prst="line">
                              <a:avLst/>
                            </a:prstGeom>
                            <a:ln>
                              <a:solidFill>
                                <a:srgbClr val="000000">
                                  <a:lumMod val="50000"/>
                                  <a:lumOff val="50000"/>
                                </a:srgbClr>
                              </a:solidFill>
                              <a:prstDash val="dash"/>
                              <a:round/>
                            </a:ln>
                          </wps:spPr>
                          <wps:style>
                            <a:lnRef idx="1">
                              <a:schemeClr val="accent1"/>
                            </a:lnRef>
                            <a:fillRef idx="0">
                              <a:schemeClr val="accent1"/>
                            </a:fillRef>
                            <a:effectRef idx="0">
                              <a:schemeClr val="accent1"/>
                            </a:effectRef>
                            <a:fontRef idx="minor"/>
                          </wps:style>
                          <wps:bodyPr/>
                        </wps:wsp>
                        <wps:wsp>
                          <wps:cNvSpPr/>
                          <wps:spPr>
                            <a:xfrm>
                              <a:off x="0" y="723960"/>
                              <a:ext cx="3569400" cy="720"/>
                            </a:xfrm>
                            <a:prstGeom prst="line">
                              <a:avLst/>
                            </a:prstGeom>
                            <a:ln>
                              <a:solidFill>
                                <a:srgbClr val="000000">
                                  <a:lumMod val="50000"/>
                                  <a:lumOff val="50000"/>
                                </a:srgbClr>
                              </a:solidFill>
                              <a:prstDash val="dash"/>
                              <a:round/>
                            </a:ln>
                          </wps:spPr>
                          <wps:style>
                            <a:lnRef idx="1">
                              <a:schemeClr val="accent1"/>
                            </a:lnRef>
                            <a:fillRef idx="0">
                              <a:schemeClr val="accent1"/>
                            </a:fillRef>
                            <a:effectRef idx="0">
                              <a:schemeClr val="accent1"/>
                            </a:effectRef>
                            <a:fontRef idx="minor"/>
                          </wps:style>
                          <wps:bodyPr/>
                        </wps:wsp>
                        <wps:wsp>
                          <wps:cNvSpPr/>
                          <wps:spPr>
                            <a:xfrm>
                              <a:off x="0" y="1073160"/>
                              <a:ext cx="3569400" cy="720"/>
                            </a:xfrm>
                            <a:prstGeom prst="line">
                              <a:avLst/>
                            </a:prstGeom>
                            <a:ln>
                              <a:solidFill>
                                <a:srgbClr val="000000">
                                  <a:lumMod val="50000"/>
                                  <a:lumOff val="50000"/>
                                </a:srgbClr>
                              </a:solidFill>
                              <a:prstDash val="dash"/>
                              <a:round/>
                            </a:ln>
                          </wps:spPr>
                          <wps:style>
                            <a:lnRef idx="1">
                              <a:schemeClr val="accent1"/>
                            </a:lnRef>
                            <a:fillRef idx="0">
                              <a:schemeClr val="accent1"/>
                            </a:fillRef>
                            <a:effectRef idx="0">
                              <a:schemeClr val="accent1"/>
                            </a:effectRef>
                            <a:fontRef idx="minor"/>
                          </wps:style>
                          <wps:bodyPr/>
                        </wps:wsp>
                        <wps:wsp>
                          <wps:cNvSpPr/>
                          <wps:spPr>
                            <a:xfrm>
                              <a:off x="0" y="1454400"/>
                              <a:ext cx="3569400" cy="720"/>
                            </a:xfrm>
                            <a:prstGeom prst="line">
                              <a:avLst/>
                            </a:prstGeom>
                            <a:ln>
                              <a:solidFill>
                                <a:srgbClr val="000000">
                                  <a:lumMod val="50000"/>
                                  <a:lumOff val="50000"/>
                                </a:srgbClr>
                              </a:solidFill>
                              <a:prstDash val="dash"/>
                              <a:round/>
                            </a:ln>
                          </wps:spPr>
                          <wps:style>
                            <a:lnRef idx="1">
                              <a:schemeClr val="accent1"/>
                            </a:lnRef>
                            <a:fillRef idx="0">
                              <a:schemeClr val="accent1"/>
                            </a:fillRef>
                            <a:effectRef idx="0">
                              <a:schemeClr val="accent1"/>
                            </a:effectRef>
                            <a:fontRef idx="minor"/>
                          </wps:style>
                          <wps:bodyPr/>
                        </wps:wsp>
                        <wps:wsp>
                          <wps:cNvSpPr/>
                          <wps:spPr>
                            <a:xfrm>
                              <a:off x="0" y="2159640"/>
                              <a:ext cx="3569400" cy="0"/>
                            </a:xfrm>
                            <a:prstGeom prst="line">
                              <a:avLst/>
                            </a:prstGeom>
                            <a:ln>
                              <a:solidFill>
                                <a:srgbClr val="000000">
                                  <a:lumMod val="50000"/>
                                  <a:lumOff val="50000"/>
                                </a:srgbClr>
                              </a:solidFill>
                              <a:prstDash val="dash"/>
                              <a:round/>
                            </a:ln>
                          </wps:spPr>
                          <wps:style>
                            <a:lnRef idx="1">
                              <a:schemeClr val="accent1"/>
                            </a:lnRef>
                            <a:fillRef idx="0">
                              <a:schemeClr val="accent1"/>
                            </a:fillRef>
                            <a:effectRef idx="0">
                              <a:schemeClr val="accent1"/>
                            </a:effectRef>
                            <a:fontRef idx="minor"/>
                          </wps:style>
                          <wps:bodyPr/>
                        </wps:wsp>
                      </wpg:grpSp>
                      <wps:wsp>
                        <wps:cNvSpPr/>
                        <wps:spPr>
                          <a:xfrm>
                            <a:off x="4610880" y="590400"/>
                            <a:ext cx="899280" cy="297720"/>
                          </a:xfrm>
                          <a:prstGeom prst="accentCallout2">
                            <a:avLst>
                              <a:gd name="adj1" fmla="val 18750"/>
                              <a:gd name="adj2" fmla="val -8333"/>
                              <a:gd name="adj3" fmla="val 18750"/>
                              <a:gd name="adj4" fmla="val -16667"/>
                              <a:gd name="adj5" fmla="val 91224"/>
                              <a:gd name="adj6" fmla="val -67270"/>
                            </a:avLst>
                          </a:prstGeom>
                          <a:solidFill>
                            <a:schemeClr val="bg1">
                              <a:lumMod val="95000"/>
                            </a:schemeClr>
                          </a:solidFill>
                          <a:ln w="12700">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ind w:hanging="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RCP 8.5</w:t>
                              </w:r>
                            </w:p>
                          </w:txbxContent>
                        </wps:txbx>
                        <wps:bodyPr numCol="1" spcCol="0" horzOverflow="overflow" vertOverflow="overflow" tIns="161280" bIns="161280" anchor="ctr">
                          <a:noAutofit/>
                        </wps:bodyPr>
                      </wps:wsp>
                      <wps:wsp>
                        <wps:cNvSpPr/>
                        <wps:spPr>
                          <a:xfrm>
                            <a:off x="4610880" y="1060560"/>
                            <a:ext cx="899280" cy="297720"/>
                          </a:xfrm>
                          <a:prstGeom prst="accentCallout2">
                            <a:avLst>
                              <a:gd name="adj1" fmla="val 18750"/>
                              <a:gd name="adj2" fmla="val -8333"/>
                              <a:gd name="adj3" fmla="val 18750"/>
                              <a:gd name="adj4" fmla="val -16667"/>
                              <a:gd name="adj5" fmla="val 138032"/>
                              <a:gd name="adj6" fmla="val -70093"/>
                            </a:avLst>
                          </a:prstGeom>
                          <a:solidFill>
                            <a:schemeClr val="bg1">
                              <a:lumMod val="95000"/>
                            </a:schemeClr>
                          </a:solidFill>
                          <a:ln w="12700">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ind w:hanging="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RCP 6.0</w:t>
                              </w:r>
                            </w:p>
                          </w:txbxContent>
                        </wps:txbx>
                        <wps:bodyPr numCol="1" spcCol="0" horzOverflow="overflow" vertOverflow="overflow" tIns="161280" bIns="161280" anchor="ctr">
                          <a:noAutofit/>
                        </wps:bodyPr>
                      </wps:wsp>
                      <wps:wsp>
                        <wps:cNvSpPr/>
                        <wps:spPr>
                          <a:xfrm>
                            <a:off x="4610880" y="1536840"/>
                            <a:ext cx="899280" cy="298440"/>
                          </a:xfrm>
                          <a:prstGeom prst="accentCallout2">
                            <a:avLst>
                              <a:gd name="adj1" fmla="val 18750"/>
                              <a:gd name="adj2" fmla="val -8333"/>
                              <a:gd name="adj3" fmla="val 18750"/>
                              <a:gd name="adj4" fmla="val -16667"/>
                              <a:gd name="adj5" fmla="val 35905"/>
                              <a:gd name="adj6" fmla="val -68682"/>
                            </a:avLst>
                          </a:prstGeom>
                          <a:solidFill>
                            <a:schemeClr val="bg1">
                              <a:lumMod val="95000"/>
                            </a:schemeClr>
                          </a:solidFill>
                          <a:ln w="12700">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ind w:hanging="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RCP 4.5</w:t>
                              </w:r>
                            </w:p>
                          </w:txbxContent>
                        </wps:txbx>
                        <wps:bodyPr numCol="1" spcCol="0" horzOverflow="overflow" vertOverflow="overflow" tIns="161280" bIns="161280" anchor="ctr">
                          <a:noAutofit/>
                        </wps:bodyPr>
                      </wps:wsp>
                      <wps:wsp>
                        <wps:cNvSpPr/>
                        <wps:spPr>
                          <a:xfrm>
                            <a:off x="4610880" y="2007360"/>
                            <a:ext cx="899280" cy="297720"/>
                          </a:xfrm>
                          <a:prstGeom prst="accentCallout2">
                            <a:avLst>
                              <a:gd name="adj1" fmla="val 18750"/>
                              <a:gd name="adj2" fmla="val -8333"/>
                              <a:gd name="adj3" fmla="val 18750"/>
                              <a:gd name="adj4" fmla="val -16667"/>
                              <a:gd name="adj5" fmla="val -2393"/>
                              <a:gd name="adj6" fmla="val -64448"/>
                            </a:avLst>
                          </a:prstGeom>
                          <a:solidFill>
                            <a:schemeClr val="bg1">
                              <a:lumMod val="95000"/>
                            </a:schemeClr>
                          </a:solidFill>
                          <a:ln w="12700">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ind w:hanging="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RCP 2.6</w:t>
                              </w:r>
                            </w:p>
                          </w:txbxContent>
                        </wps:txbx>
                        <wps:bodyPr numCol="1" spcCol="0" horzOverflow="overflow" vertOverflow="overflow" tIns="161280" bIns="161280" anchor="ctr">
                          <a:noAutofit/>
                        </wps:bodyPr>
                      </wps:wsp>
                    </wpg:wgp>
                  </a:graphicData>
                </a:graphic>
              </wp:inline>
            </w:drawing>
          </mc:Choice>
          <mc:Fallback>
            <w:pict>
              <v:group id="shape_0" alt="Forme1" style="position:absolute;margin-left:0pt;margin-top:-264.05pt;width:433.85pt;height:263.35pt" coordorigin="0,-5281" coordsize="8677,5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8" stroked="f" o:allowincell="f" style="position:absolute;left:0;top:-5281;width:6802;height:5266;mso-wrap-style:none;v-text-anchor:middle;mso-position-vertical:top" type="_x0000_t75">
                  <v:imagedata r:id="rId2" o:detectmouseclick="t"/>
                  <v:stroke color="#3465a4" joinstyle="round" endcap="flat"/>
                  <w10:wrap type="square"/>
                </v:shape>
                <v:group id="shape_0" alt="Groupe 12" style="position:absolute;left:690;top:-4431;width:5620;height:3400">
                  <v:line id="shape_0" from="690,-3881" to="6310,-3881" ID="Connecteur droit 13" stroked="t" o:allowincell="f" style="position:absolute;mso-position-vertical:top">
                    <v:stroke color="gray" weight="9360" dashstyle="dash" joinstyle="round" endcap="flat"/>
                    <v:fill o:detectmouseclick="t" on="false"/>
                    <w10:wrap type="square"/>
                  </v:line>
                  <v:line id="shape_0" from="690,-4431" to="6310,-4431" ID="Connecteur droit 14" stroked="t" o:allowincell="f" style="position:absolute;mso-position-vertical:top">
                    <v:stroke color="gray" weight="9360" dashstyle="dash" joinstyle="round" endcap="flat"/>
                    <v:fill o:detectmouseclick="t" on="false"/>
                    <w10:wrap type="square"/>
                  </v:line>
                  <v:line id="shape_0" from="690,-3291" to="6310,-3291" ID="Connecteur droit 15" stroked="t" o:allowincell="f" style="position:absolute;mso-position-vertical:top">
                    <v:stroke color="gray" weight="9360" dashstyle="dash" joinstyle="round" endcap="flat"/>
                    <v:fill o:detectmouseclick="t" on="false"/>
                    <w10:wrap type="square"/>
                  </v:line>
                  <v:line id="shape_0" from="690,-2741" to="6310,-2741" ID="Connecteur droit 16" stroked="t" o:allowincell="f" style="position:absolute;mso-position-vertical:top">
                    <v:stroke color="gray" weight="9360" dashstyle="dash" joinstyle="round" endcap="flat"/>
                    <v:fill o:detectmouseclick="t" on="false"/>
                    <w10:wrap type="square"/>
                  </v:line>
                  <v:line id="shape_0" from="690,-2141" to="6310,-2141" ID="Connecteur droit 17" stroked="t" o:allowincell="f" style="position:absolute;mso-position-vertical:top">
                    <v:stroke color="gray" weight="9360" dashstyle="dash" joinstyle="round" endcap="flat"/>
                    <v:fill o:detectmouseclick="t" on="false"/>
                    <w10:wrap type="square"/>
                  </v:line>
                  <v:line id="shape_0" from="690,-1030" to="6310,-1030" ID="Connecteur droit 18" stroked="t" o:allowincell="f" style="position:absolute;mso-position-vertical:top">
                    <v:stroke color="gray" weight="9360" dashstyle="dash" joinstyle="round" endcap="flat"/>
                    <v:fill o:detectmouseclick="t" on="false"/>
                    <w10:wrap type="square"/>
                  </v:line>
                </v:group>
                <v:shapetype id="_x0000_t45" coordsize="21600,21600" o:spt="45" adj="-10080,24300,-3600,4050,-1800,4050" path="m,l21600,l21600,21600l,21600xnsem@1,xl@1,21600nfem@1@0l@3@2l@5@4nfe">
                  <v:stroke joinstyle="miter"/>
                  <v:formulas>
                    <v:f eqn="val #5"/>
                    <v:f eqn="val #4"/>
                    <v:f eqn="val #3"/>
                    <v:f eqn="val #2"/>
                    <v:f eqn="val #1"/>
                    <v:f eqn="val #0"/>
                  </v:formulas>
                  <v:path gradientshapeok="t" o:connecttype="rect" textboxrect="0,0,21600,21600"/>
                  <v:handles>
                    <v:h position="@1,@0"/>
                    <v:h position="@3,@2"/>
                    <v:h position="@5,@4"/>
                  </v:handles>
                </v:shapetype>
                <v:shape id="shape_0" ID="Légende : flèche courbée à une bordure 10" path="m0,0l-2147483636,0l-2147483636,-2147483633l0,-2147483633xel-2147483645,-2147483633el-2147483641,-2147483643l-2147483637,-2147483639e" fillcolor="#f2f2f2" stroked="t" o:allowincell="f" style="position:absolute;left:7261;top:-4351;width:1415;height:468;mso-wrap-style:square;v-text-anchor:middle;mso-position-vertical:top" type="_x0000_t45">
                  <v:textbox>
                    <w:txbxContent>
                      <w:p>
                        <w:pPr>
                          <w:overflowPunct w:val="false"/>
                          <w:spacing w:before="0" w:after="0" w:lineRule="auto" w:line="240"/>
                          <w:ind w:hanging="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RCP 8.5</w:t>
                        </w:r>
                      </w:p>
                    </w:txbxContent>
                  </v:textbox>
                  <v:fill o:detectmouseclick="t" type="solid" color2="#0d0d0d"/>
                  <v:stroke color="#3a5f8b" weight="12600" joinstyle="round" endcap="flat"/>
                  <w10:wrap type="square"/>
                </v:shape>
                <v:shape id="shape_0" ID="Légende : flèche courbée à une bordure 11" path="m0,0l-2147483636,0l-2147483636,-2147483633l0,-2147483633xel-2147483645,-2147483633el-2147483641,-2147483643l-2147483637,-2147483639e" fillcolor="#f2f2f2" stroked="t" o:allowincell="f" style="position:absolute;left:7261;top:-3611;width:1415;height:468;mso-wrap-style:square;v-text-anchor:middle;mso-position-vertical:top" type="_x0000_t45">
                  <v:textbox>
                    <w:txbxContent>
                      <w:p>
                        <w:pPr>
                          <w:overflowPunct w:val="false"/>
                          <w:spacing w:before="0" w:after="0" w:lineRule="auto" w:line="240"/>
                          <w:ind w:hanging="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RCP 6.0</w:t>
                        </w:r>
                      </w:p>
                    </w:txbxContent>
                  </v:textbox>
                  <v:fill o:detectmouseclick="t" type="solid" color2="#0d0d0d"/>
                  <v:stroke color="#3a5f8b" weight="12600" joinstyle="round" endcap="flat"/>
                  <w10:wrap type="square"/>
                </v:shape>
                <v:shape id="shape_0" ID="Légende : flèche courbée à une bordure 12" path="m0,0l-2147483636,0l-2147483636,-2147483633l0,-2147483633xel-2147483645,-2147483633el-2147483641,-2147483643l-2147483637,-2147483639e" fillcolor="#f2f2f2" stroked="t" o:allowincell="f" style="position:absolute;left:7261;top:-2861;width:1415;height:469;mso-wrap-style:square;v-text-anchor:middle;mso-position-vertical:top" type="_x0000_t45">
                  <v:textbox>
                    <w:txbxContent>
                      <w:p>
                        <w:pPr>
                          <w:overflowPunct w:val="false"/>
                          <w:spacing w:before="0" w:after="0" w:lineRule="auto" w:line="240"/>
                          <w:ind w:hanging="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RCP 4.5</w:t>
                        </w:r>
                      </w:p>
                    </w:txbxContent>
                  </v:textbox>
                  <v:fill o:detectmouseclick="t" type="solid" color2="#0d0d0d"/>
                  <v:stroke color="#3a5f8b" weight="12600" joinstyle="round" endcap="flat"/>
                  <w10:wrap type="square"/>
                </v:shape>
                <v:shape id="shape_0" ID="Légende : flèche courbée à une bordure 13" path="m0,0l-2147483636,0l-2147483636,-2147483633l0,-2147483633xel-2147483645,-2147483633el-2147483641,-2147483643l-2147483637,-2147483639e" fillcolor="#f2f2f2" stroked="t" o:allowincell="f" style="position:absolute;left:7261;top:-2120;width:1415;height:468;mso-wrap-style:square;v-text-anchor:middle;mso-position-vertical:top" type="_x0000_t45">
                  <v:textbox>
                    <w:txbxContent>
                      <w:p>
                        <w:pPr>
                          <w:overflowPunct w:val="false"/>
                          <w:spacing w:before="0" w:after="0" w:lineRule="auto" w:line="240"/>
                          <w:ind w:hanging="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RCP 2.6</w:t>
                        </w:r>
                      </w:p>
                    </w:txbxContent>
                  </v:textbox>
                  <v:fill o:detectmouseclick="t" type="solid" color2="#0d0d0d"/>
                  <v:stroke color="#3a5f8b" weight="12600" joinstyle="round" endcap="flat"/>
                  <w10:wrap type="square"/>
                </v:shape>
              </v:group>
            </w:pict>
          </mc:Fallback>
        </mc:AlternateContent>
      </w:r>
    </w:p>
    <w:p>
      <w:pPr>
        <w:pStyle w:val="Normal"/>
        <w:spacing w:lineRule="auto" w:line="276"/>
        <w:jc w:val="right"/>
        <w:rPr>
          <w:rFonts w:eastAsia="Arial" w:cs="Arial"/>
          <w:sz w:val="22"/>
          <w:szCs w:val="22"/>
        </w:rPr>
      </w:pPr>
      <w:r>
        <w:rPr>
          <w:rFonts w:eastAsia="Arial" w:cs="Arial"/>
          <w:color w:val="202122"/>
          <w:sz w:val="22"/>
          <w:szCs w:val="22"/>
          <w:shd w:fill="FFFFFF" w:val="clear"/>
        </w:rPr>
        <w:t xml:space="preserve">d’après </w:t>
      </w:r>
      <w:hyperlink r:id="rId3" w:tgtFrame="https://www.climate-chance.org">
        <w:r>
          <w:rPr>
            <w:rStyle w:val="LienInternet"/>
            <w:rFonts w:eastAsia="Arial" w:cs="Arial"/>
            <w:sz w:val="22"/>
            <w:szCs w:val="22"/>
          </w:rPr>
          <w:t>https://www.climate-chance.org</w:t>
        </w:r>
      </w:hyperlink>
    </w:p>
    <w:p>
      <w:pPr>
        <w:pStyle w:val="Normal"/>
        <w:spacing w:lineRule="auto" w:line="276"/>
        <w:jc w:val="both"/>
        <w:rPr>
          <w:rFonts w:eastAsia="Arial" w:cs="Arial"/>
          <w:color w:val="202122"/>
          <w:sz w:val="22"/>
          <w:szCs w:val="22"/>
          <w:shd w:fill="FFFFFF" w:val="clear"/>
        </w:rPr>
      </w:pPr>
      <w:r>
        <w:rPr>
          <w:rFonts w:eastAsia="Arial" w:cs="Arial"/>
          <w:color w:val="202122"/>
          <w:sz w:val="22"/>
          <w:szCs w:val="22"/>
          <w:shd w:fill="FFFFFF" w:val="clear"/>
        </w:rPr>
        <w:t xml:space="preserve">Chaque scénario RCP est caractérisé par un nombre qui correspond à une valeur d’élévation du forçage radiatif par unité de temps et de surface, exprimé en </w:t>
      </w:r>
      <w:r>
        <w:rPr/>
      </w:r>
      <m:oMath xmlns:m="http://schemas.openxmlformats.org/officeDocument/2006/math">
        <m:r>
          <w:rPr>
            <w:rFonts w:ascii="Cambria Math" w:hAnsi="Cambria Math"/>
          </w:rPr>
          <m:t xml:space="preserve">W</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r>
        <w:rPr>
          <w:rFonts w:eastAsia="Arial" w:cs="Arial"/>
          <w:iCs/>
          <w:color w:val="202122"/>
          <w:sz w:val="22"/>
          <w:szCs w:val="22"/>
          <w:shd w:fill="FFFFFF" w:val="clear"/>
        </w:rPr>
        <w:t>.</w:t>
      </w:r>
    </w:p>
    <w:p>
      <w:pPr>
        <w:pStyle w:val="Normal"/>
        <w:spacing w:lineRule="auto" w:line="240" w:before="0" w:after="0"/>
        <w:ind w:left="0" w:hanging="0"/>
        <w:rPr>
          <w:rFonts w:eastAsia="Arial" w:cs="Arial"/>
          <w:b/>
          <w:b/>
          <w:bCs/>
          <w:color w:val="202122"/>
          <w:sz w:val="22"/>
          <w:szCs w:val="22"/>
          <w:shd w:fill="FFFFFF" w:val="clear"/>
        </w:rPr>
      </w:pPr>
      <w:r>
        <w:rPr>
          <w:rFonts w:eastAsia="Arial" w:cs="Arial"/>
          <w:b/>
          <w:bCs/>
          <w:color w:val="202122"/>
          <w:sz w:val="22"/>
          <w:szCs w:val="22"/>
          <w:shd w:fill="FFFFFF" w:val="clear"/>
        </w:rPr>
      </w:r>
      <w:r>
        <w:br w:type="page"/>
      </w:r>
    </w:p>
    <w:p>
      <w:pPr>
        <w:pStyle w:val="Normal"/>
        <w:spacing w:lineRule="auto" w:line="276" w:before="0" w:after="0"/>
        <w:rPr>
          <w:b/>
          <w:b/>
          <w:bCs/>
        </w:rPr>
      </w:pPr>
      <w:r>
        <w:rPr>
          <w:rFonts w:eastAsia="Arial" w:cs="Arial"/>
          <w:b/>
          <w:bCs/>
          <w:color w:val="202122"/>
          <w:sz w:val="22"/>
          <w:szCs w:val="22"/>
          <w:u w:val="single"/>
          <w:shd w:fill="FFFFFF" w:val="clear"/>
        </w:rPr>
        <w:t>Document 2</w:t>
      </w:r>
      <w:r>
        <w:rPr>
          <w:rFonts w:eastAsia="Arial" w:cs="Arial"/>
          <w:b/>
          <w:bCs/>
          <w:color w:val="202122"/>
          <w:sz w:val="22"/>
          <w:szCs w:val="22"/>
          <w:shd w:fill="FFFFFF" w:val="clear"/>
        </w:rPr>
        <w:t> : composantes du forçage radiatif terrestre</w:t>
      </w:r>
    </w:p>
    <w:p>
      <w:pPr>
        <w:pStyle w:val="Normal"/>
        <w:spacing w:lineRule="auto" w:line="276" w:before="0" w:after="0"/>
        <w:jc w:val="center"/>
        <w:rPr/>
      </w:pPr>
      <w:r>
        <w:rPr/>
        <w:drawing>
          <wp:inline distT="0" distB="0" distL="0" distR="0">
            <wp:extent cx="5948045" cy="4291965"/>
            <wp:effectExtent l="0" t="0" r="0" b="0"/>
            <wp:docPr id="2"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3" descr=""/>
                    <pic:cNvPicPr>
                      <a:picLocks noChangeAspect="1" noChangeArrowheads="1"/>
                    </pic:cNvPicPr>
                  </pic:nvPicPr>
                  <pic:blipFill>
                    <a:blip r:embed="rId4"/>
                    <a:stretch>
                      <a:fillRect/>
                    </a:stretch>
                  </pic:blipFill>
                  <pic:spPr bwMode="auto">
                    <a:xfrm>
                      <a:off x="0" y="0"/>
                      <a:ext cx="5948045" cy="4291965"/>
                    </a:xfrm>
                    <a:prstGeom prst="rect">
                      <a:avLst/>
                    </a:prstGeom>
                  </pic:spPr>
                </pic:pic>
              </a:graphicData>
            </a:graphic>
          </wp:inline>
        </w:drawing>
      </w:r>
    </w:p>
    <w:p>
      <w:pPr>
        <w:pStyle w:val="Normal"/>
        <w:spacing w:lineRule="auto" w:line="276"/>
        <w:jc w:val="right"/>
        <w:rPr>
          <w:rFonts w:eastAsia="Arial" w:cs="Arial"/>
        </w:rPr>
      </w:pPr>
      <w:r>
        <w:rPr>
          <w:rFonts w:eastAsia="Arial" w:cs="Arial"/>
          <w:color w:val="202122"/>
          <w:sz w:val="22"/>
          <w:szCs w:val="22"/>
          <w:shd w:fill="FFFFFF" w:val="clear"/>
        </w:rPr>
        <w:t xml:space="preserve">Source : </w:t>
      </w:r>
      <w:hyperlink r:id="rId5" w:tgtFrame="par Leland McInnes, CC BY-SA 3.0">
        <w:r>
          <w:rPr>
            <w:rStyle w:val="LienInternet"/>
            <w:rFonts w:eastAsia="Arial" w:cs="Arial"/>
            <w:sz w:val="22"/>
            <w:szCs w:val="22"/>
            <w:shd w:fill="FFFFFF" w:val="clear"/>
          </w:rPr>
          <w:t>Wikimedias</w:t>
        </w:r>
      </w:hyperlink>
    </w:p>
    <w:p>
      <w:pPr>
        <w:pStyle w:val="ListParagraph"/>
        <w:numPr>
          <w:ilvl w:val="0"/>
          <w:numId w:val="2"/>
        </w:numPr>
        <w:pBdr/>
        <w:spacing w:lineRule="auto" w:line="276" w:before="0" w:after="160"/>
        <w:ind w:left="567" w:hanging="567"/>
        <w:contextualSpacing w:val="false"/>
        <w:rPr>
          <w:rFonts w:cs="Arial"/>
        </w:rPr>
      </w:pPr>
      <w:r>
        <w:rPr>
          <w:rFonts w:eastAsia="Arial" w:cs="Arial"/>
          <w:b/>
          <w:bCs/>
        </w:rPr>
        <w:t xml:space="preserve">1.a </w:t>
      </w:r>
      <w:r>
        <w:rPr>
          <w:rFonts w:eastAsia="Arial" w:cs="Arial"/>
        </w:rPr>
        <w:t xml:space="preserve">Définir la notion de « forçage radiatif ». </w:t>
        <w:br/>
      </w:r>
      <w:r>
        <w:rPr>
          <w:rFonts w:eastAsia="Arial" w:cs="Arial"/>
          <w:b/>
          <w:bCs/>
        </w:rPr>
        <w:t>1.b</w:t>
      </w:r>
      <w:r>
        <w:rPr>
          <w:rFonts w:eastAsia="Arial" w:cs="Arial"/>
        </w:rPr>
        <w:t xml:space="preserve"> Justifier que, par unité de temps et de surface terrestre, ce forçage radiatif s’exprime en W∙m</w:t>
      </w:r>
      <w:r>
        <w:rPr>
          <w:rFonts w:eastAsia="Arial" w:cs="Arial"/>
          <w:vertAlign w:val="superscript"/>
        </w:rPr>
        <w:t>-2</w:t>
      </w:r>
      <w:r>
        <w:rPr>
          <w:rFonts w:eastAsia="Arial" w:cs="Arial"/>
        </w:rPr>
        <w:t xml:space="preserve">. </w:t>
        <w:br/>
      </w:r>
      <w:r>
        <w:rPr>
          <w:rFonts w:eastAsia="Arial" w:cs="Arial"/>
          <w:b/>
          <w:bCs/>
        </w:rPr>
        <w:t>1.c</w:t>
      </w:r>
      <w:r>
        <w:rPr>
          <w:rFonts w:eastAsia="Arial" w:cs="Arial"/>
        </w:rPr>
        <w:t xml:space="preserve"> </w:t>
      </w:r>
      <w:r>
        <w:rPr>
          <w:rFonts w:cs="Arial"/>
        </w:rPr>
        <w:t xml:space="preserve">Expliquer en quoi le forçage radiatif est lié à la variation de la température terrestre. </w:t>
      </w:r>
    </w:p>
    <w:p>
      <w:pPr>
        <w:pStyle w:val="ListParagraph"/>
        <w:numPr>
          <w:ilvl w:val="0"/>
          <w:numId w:val="2"/>
        </w:numPr>
        <w:pBdr/>
        <w:spacing w:lineRule="auto" w:line="276" w:before="0" w:after="160"/>
        <w:ind w:left="567" w:hanging="567"/>
        <w:contextualSpacing w:val="false"/>
        <w:jc w:val="both"/>
        <w:rPr>
          <w:rFonts w:cs="Arial"/>
        </w:rPr>
      </w:pPr>
      <w:r>
        <w:rPr>
          <w:rFonts w:cs="Arial"/>
        </w:rPr>
        <w:t xml:space="preserve">Expliquer les causes de l’augmentation du forçage radiatif depuis la révolution industrielle (1850). </w:t>
      </w:r>
    </w:p>
    <w:p>
      <w:pPr>
        <w:pStyle w:val="Normal"/>
        <w:spacing w:lineRule="auto" w:line="240" w:before="0" w:after="0"/>
        <w:ind w:left="0" w:hanging="0"/>
        <w:rPr>
          <w:rFonts w:cs="Arial"/>
          <w:lang w:eastAsia="en-US"/>
        </w:rPr>
      </w:pPr>
      <w:r>
        <w:rPr>
          <w:rFonts w:cs="Arial"/>
          <w:lang w:eastAsia="en-US"/>
        </w:rPr>
      </w:r>
    </w:p>
    <w:p>
      <w:pPr>
        <w:pStyle w:val="Normal"/>
        <w:spacing w:lineRule="auto" w:line="276"/>
        <w:ind w:left="0" w:hanging="0"/>
        <w:rPr/>
      </w:pPr>
      <w:r>
        <w:rPr>
          <w:b/>
          <w:bCs/>
        </w:rPr>
        <w:t>3.</w:t>
      </w:r>
      <w:r>
        <w:rPr/>
        <w:t xml:space="preserve"> On analyse l’effet du forçage radiatif sur le niveau des océans.</w:t>
      </w:r>
    </w:p>
    <w:p>
      <w:pPr>
        <w:pStyle w:val="Normal"/>
        <w:spacing w:lineRule="auto" w:line="276"/>
        <w:ind w:left="0" w:hanging="0"/>
        <w:jc w:val="both"/>
        <w:rPr>
          <w:rFonts w:eastAsia="Arial" w:cs="Arial"/>
        </w:rPr>
      </w:pPr>
      <w:r>
        <w:rPr>
          <w:rFonts w:eastAsia="Arial" w:cs="Arial"/>
        </w:rPr>
        <w:t xml:space="preserve">En tenant compte uniquement de la dilatation des océans, estimer la variation du niveau marin </w:t>
      </w:r>
      <w:r>
        <w:rPr/>
      </w:r>
      <m:oMath xmlns:m="http://schemas.openxmlformats.org/officeDocument/2006/math">
        <m:r>
          <w:rPr>
            <w:rFonts w:ascii="Cambria Math" w:hAnsi="Cambria Math"/>
          </w:rPr>
          <m:t xml:space="preserve">Δe</m:t>
        </m:r>
      </m:oMath>
      <w:r>
        <w:rPr>
          <w:rFonts w:eastAsia="Arial" w:cs="Arial"/>
        </w:rPr>
        <w:t xml:space="preserve"> à l’échelle du globe, en 2100, pour un RCP 4.5, qui correspond aux accords de Paris, à l’aide des données ci-dessous.</w:t>
      </w:r>
    </w:p>
    <w:p>
      <w:pPr>
        <w:pStyle w:val="ListParagraph"/>
        <w:spacing w:lineRule="auto" w:line="276"/>
        <w:ind w:left="567" w:hanging="0"/>
        <w:rPr>
          <w:rFonts w:eastAsia="Arial" w:cs="Arial"/>
          <w:b/>
          <w:b/>
          <w:bCs/>
        </w:rPr>
      </w:pPr>
      <w:r>
        <w:rPr>
          <w:rFonts w:eastAsia="Arial" w:cs="Arial"/>
          <w:b/>
          <w:bCs/>
        </w:rPr>
        <w:t>Données :</w:t>
      </w:r>
    </w:p>
    <w:p>
      <w:pPr>
        <w:pStyle w:val="ListParagraph"/>
        <w:spacing w:lineRule="auto" w:line="276"/>
        <w:ind w:left="567" w:hanging="0"/>
        <w:rPr>
          <w:rFonts w:eastAsia="Arial" w:cs="Arial"/>
        </w:rPr>
      </w:pPr>
      <w:r>
        <w:rPr>
          <w:rFonts w:eastAsia="Arial" w:cs="Arial"/>
        </w:rPr>
        <w:t xml:space="preserve">La variation </w:t>
      </w:r>
      <w:r>
        <w:rPr/>
      </w:r>
      <m:oMath xmlns:m="http://schemas.openxmlformats.org/officeDocument/2006/math">
        <m:r>
          <w:rPr>
            <w:rFonts w:ascii="Cambria Math" w:hAnsi="Cambria Math"/>
          </w:rPr>
          <m:t xml:space="preserve">ΔV</m:t>
        </m:r>
      </m:oMath>
      <w:r>
        <w:rPr>
          <w:rFonts w:eastAsia="Arial" w:cs="Arial"/>
        </w:rPr>
        <w:t xml:space="preserve"> d’un volume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eastAsia="Arial" w:cs="Arial"/>
        </w:rPr>
        <w:t xml:space="preserve"> d’eau est proportionnelle à la variation de température </w:t>
      </w:r>
      <w:r>
        <w:rPr/>
      </w:r>
      <m:oMath xmlns:m="http://schemas.openxmlformats.org/officeDocument/2006/math">
        <m:r>
          <w:rPr>
            <w:rFonts w:ascii="Cambria Math" w:hAnsi="Cambria Math"/>
          </w:rPr>
          <m:t xml:space="preserve">ΔT</m:t>
        </m:r>
      </m:oMath>
      <w:r>
        <w:rPr>
          <w:rFonts w:eastAsia="Arial" w:cs="Arial"/>
        </w:rPr>
        <w:t xml:space="preserve"> : </w:t>
      </w:r>
      <w:r>
        <w:rPr/>
      </w:r>
      <m:oMath xmlns:m="http://schemas.openxmlformats.org/officeDocument/2006/math">
        <m:r>
          <w:rPr>
            <w:rFonts w:ascii="Cambria Math" w:hAnsi="Cambria Math"/>
          </w:rPr>
          <m:t xml:space="preserve">ΔV</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ΔT</m:t>
        </m:r>
      </m:oMath>
      <w:r>
        <w:rPr>
          <w:rFonts w:eastAsia="Arial" w:cs="Arial"/>
        </w:rPr>
        <w:t>;</w:t>
      </w:r>
    </w:p>
    <w:p>
      <w:pPr>
        <w:pStyle w:val="ListParagraph"/>
        <w:numPr>
          <w:ilvl w:val="0"/>
          <w:numId w:val="1"/>
        </w:numPr>
        <w:pBdr/>
        <w:spacing w:lineRule="auto" w:line="276"/>
        <w:ind w:left="1287" w:hanging="360"/>
        <w:rPr>
          <w:rFonts w:eastAsia="Arial" w:cs="Arial"/>
        </w:rPr>
      </w:pPr>
      <w:r>
        <w:rPr>
          <w:rFonts w:eastAsia="Arial" w:cs="Arial"/>
        </w:rPr>
        <w:t xml:space="preserve">coefficient de dilatation thermique de l’eau :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2,6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oMath>
      <w:r>
        <w:rPr>
          <w:rFonts w:eastAsia="Arial" w:cs="Arial"/>
          <w:iCs/>
        </w:rPr>
        <w:t>;</w:t>
      </w:r>
    </w:p>
    <w:p>
      <w:pPr>
        <w:pStyle w:val="ListParagraph"/>
        <w:numPr>
          <w:ilvl w:val="0"/>
          <w:numId w:val="1"/>
        </w:numPr>
        <w:pBdr/>
        <w:spacing w:lineRule="auto" w:line="276"/>
        <w:ind w:left="1287" w:hanging="360"/>
        <w:rPr>
          <w:rFonts w:eastAsia="Arial" w:cs="Arial"/>
        </w:rPr>
      </w:pPr>
      <w:r>
        <w:rPr>
          <w:rFonts w:eastAsia="Arial" w:cs="Arial"/>
        </w:rPr>
        <w:t xml:space="preserve">Surface totale des océans :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360</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k</m:t>
        </m:r>
        <m:sSup>
          <m:e>
            <m:r>
              <w:rPr>
                <w:rFonts w:ascii="Cambria Math" w:hAnsi="Cambria Math"/>
              </w:rPr>
              <m:t xml:space="preserve">m</m:t>
            </m:r>
          </m:e>
          <m:sup>
            <m:r>
              <w:rPr>
                <w:rFonts w:ascii="Cambria Math" w:hAnsi="Cambria Math"/>
              </w:rPr>
              <m:t xml:space="preserve">2</m:t>
            </m:r>
          </m:sup>
        </m:sSup>
      </m:oMath>
      <w:r>
        <w:rPr>
          <w:rFonts w:eastAsia="Arial" w:cs="Arial"/>
          <w:iCs/>
        </w:rPr>
        <w:t>;</w:t>
      </w:r>
    </w:p>
    <w:p>
      <w:pPr>
        <w:pStyle w:val="Normal"/>
        <w:spacing w:lineRule="auto" w:line="276"/>
        <w:ind w:left="0" w:hanging="0"/>
        <w:rPr>
          <w:rFonts w:eastAsia="Arial" w:cs="Arial"/>
        </w:rPr>
      </w:pPr>
      <w:r>
        <w:rPr>
          <w:rFonts w:eastAsia="Arial" w:cs="Arial"/>
        </w:rPr>
        <w:t xml:space="preserve">Épaisseur de la couche superficielle océanique concernée :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300</m:t>
        </m:r>
        <m:r>
          <w:rPr>
            <w:rFonts w:ascii="Cambria Math" w:hAnsi="Cambria Math"/>
          </w:rPr>
          <m:t xml:space="preserve">m</m:t>
        </m:r>
      </m:oMath>
      <w:r>
        <w:rPr>
          <w:rFonts w:eastAsia="Arial" w:cs="Arial"/>
        </w:rPr>
        <w:t>.</w:t>
      </w:r>
    </w:p>
    <w:p>
      <w:pPr>
        <w:pStyle w:val="Normal"/>
        <w:spacing w:lineRule="auto" w:line="240" w:before="0" w:after="0"/>
        <w:ind w:left="0" w:hanging="0"/>
        <w:rPr>
          <w:rFonts w:eastAsia="Arial" w:cs="Arial"/>
        </w:rPr>
      </w:pPr>
      <w:r>
        <w:rPr>
          <w:rFonts w:eastAsia="Arial" w:cs="Arial"/>
        </w:rPr>
      </w:r>
      <w:r>
        <w:br w:type="page"/>
      </w:r>
    </w:p>
    <w:p>
      <w:pPr>
        <w:pStyle w:val="Normal"/>
        <w:spacing w:lineRule="auto" w:line="276"/>
        <w:ind w:left="0" w:hanging="0"/>
        <w:jc w:val="both"/>
        <w:rPr>
          <w:rFonts w:eastAsia="Arial" w:cs="Arial"/>
        </w:rPr>
      </w:pPr>
      <w:r>
        <w:rPr>
          <w:rFonts w:eastAsia="Arial" w:cs="Arial"/>
          <w:b/>
          <w:bCs/>
        </w:rPr>
        <w:t xml:space="preserve">4. </w:t>
      </w:r>
      <w:r>
        <w:rPr>
          <w:rFonts w:eastAsia="Arial" w:cs="Arial"/>
        </w:rPr>
        <w:t xml:space="preserve">À l’effet de la dilatation thermique, s’ajoutent d’autres causes qui pourraient conduire à une élévation du niveau des océans de l’ordre du mètre. Présenter les conséquences sur l’environnement et les activités humaines qu’aurait une telle élévation du niveau des océans. </w:t>
      </w:r>
    </w:p>
    <w:p>
      <w:pPr>
        <w:pStyle w:val="Normal"/>
        <w:spacing w:lineRule="auto" w:line="276"/>
        <w:ind w:left="0" w:hanging="0"/>
        <w:jc w:val="both"/>
        <w:rPr>
          <w:rFonts w:eastAsia="Arial" w:cs="Arial"/>
          <w:sz w:val="22"/>
          <w:szCs w:val="22"/>
        </w:rPr>
      </w:pPr>
      <w:r>
        <w:rPr/>
        <w:t xml:space="preserve">Un des paramètres qui influe sur le forçage radiatif est l’albédo terrestre moyen. </w:t>
        <w:br/>
        <w:t>On rappelle que l’albédo d’une surface correspond au rapport de l’énergie lumineuse réfléchie sur l’énergie lumineuse incidente.</w:t>
      </w:r>
    </w:p>
    <w:p>
      <w:pPr>
        <w:pStyle w:val="Normal"/>
        <w:spacing w:lineRule="auto" w:line="276"/>
        <w:ind w:left="0" w:hanging="0"/>
        <w:rPr/>
      </w:pPr>
      <w:r>
        <w:rPr/>
        <w:t>Le tableau suivant fournit quelques valeurs suivant la nature des surfaces.</w:t>
      </w:r>
    </w:p>
    <w:tbl>
      <w:tblPr>
        <w:tblStyle w:val="Grilledutableau"/>
        <w:tblW w:w="566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71"/>
        <w:gridCol w:w="2693"/>
      </w:tblGrid>
      <w:tr>
        <w:trPr>
          <w:trHeight w:val="340" w:hRule="atLeast"/>
        </w:trPr>
        <w:tc>
          <w:tcPr>
            <w:tcW w:w="2971" w:type="dxa"/>
            <w:tcBorders/>
            <w:shd w:color="auto" w:fill="D9D9D9" w:themeFill="background1" w:themeFillShade="d9" w:val="clear"/>
            <w:vAlign w:val="center"/>
          </w:tcPr>
          <w:p>
            <w:pPr>
              <w:pStyle w:val="Normal"/>
              <w:widowControl/>
              <w:spacing w:lineRule="auto" w:line="276" w:before="0" w:after="0"/>
              <w:ind w:left="0" w:hanging="0"/>
              <w:jc w:val="center"/>
              <w:rPr>
                <w:b/>
                <w:b/>
                <w:bCs/>
              </w:rPr>
            </w:pPr>
            <w:r>
              <w:rPr>
                <w:rFonts w:eastAsia="Calibri" w:cs="Times New Roman"/>
                <w:b/>
                <w:bCs/>
                <w:kern w:val="0"/>
                <w:lang w:val="fr-FR" w:eastAsia="fr-FR" w:bidi="ar-SA"/>
              </w:rPr>
              <w:t>Type de Surface</w:t>
            </w:r>
          </w:p>
        </w:tc>
        <w:tc>
          <w:tcPr>
            <w:tcW w:w="2693" w:type="dxa"/>
            <w:tcBorders/>
            <w:shd w:color="auto" w:fill="D9D9D9" w:themeFill="background1" w:themeFillShade="d9" w:val="clear"/>
            <w:vAlign w:val="center"/>
          </w:tcPr>
          <w:p>
            <w:pPr>
              <w:pStyle w:val="Normal"/>
              <w:widowControl/>
              <w:spacing w:lineRule="auto" w:line="276" w:before="0" w:after="0"/>
              <w:ind w:left="0" w:hanging="0"/>
              <w:jc w:val="center"/>
              <w:rPr>
                <w:b/>
                <w:b/>
                <w:bCs/>
              </w:rPr>
            </w:pPr>
            <w:r>
              <w:rPr>
                <w:rFonts w:eastAsia="Calibri" w:cs="Times New Roman"/>
                <w:b/>
                <w:bCs/>
                <w:kern w:val="0"/>
                <w:lang w:val="fr-FR" w:eastAsia="fr-FR" w:bidi="ar-SA"/>
              </w:rPr>
              <w:t>Albédo</w:t>
            </w:r>
          </w:p>
        </w:tc>
      </w:tr>
      <w:tr>
        <w:trPr>
          <w:trHeight w:val="340" w:hRule="atLeast"/>
        </w:trPr>
        <w:tc>
          <w:tcPr>
            <w:tcW w:w="2971" w:type="dxa"/>
            <w:tcBorders/>
            <w:vAlign w:val="center"/>
          </w:tcPr>
          <w:p>
            <w:pPr>
              <w:pStyle w:val="Normal"/>
              <w:widowControl/>
              <w:spacing w:lineRule="auto" w:line="276" w:before="0" w:after="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Mer / Océan</w:t>
            </w:r>
          </w:p>
        </w:tc>
        <w:tc>
          <w:tcPr>
            <w:tcW w:w="2693" w:type="dxa"/>
            <w:tcBorders/>
            <w:vAlign w:val="center"/>
          </w:tcPr>
          <w:p>
            <w:pPr>
              <w:pStyle w:val="Normal"/>
              <w:widowControl/>
              <w:spacing w:lineRule="auto" w:line="276" w:before="0" w:after="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0.26</w:t>
            </w:r>
          </w:p>
        </w:tc>
      </w:tr>
      <w:tr>
        <w:trPr>
          <w:trHeight w:val="340" w:hRule="atLeast"/>
        </w:trPr>
        <w:tc>
          <w:tcPr>
            <w:tcW w:w="2971" w:type="dxa"/>
            <w:tcBorders/>
            <w:vAlign w:val="center"/>
          </w:tcPr>
          <w:p>
            <w:pPr>
              <w:pStyle w:val="Normal"/>
              <w:widowControl/>
              <w:spacing w:lineRule="auto" w:line="276" w:before="0" w:after="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Glace</w:t>
            </w:r>
          </w:p>
        </w:tc>
        <w:tc>
          <w:tcPr>
            <w:tcW w:w="2693" w:type="dxa"/>
            <w:tcBorders/>
            <w:vAlign w:val="center"/>
          </w:tcPr>
          <w:p>
            <w:pPr>
              <w:pStyle w:val="Normal"/>
              <w:widowControl/>
              <w:spacing w:lineRule="auto" w:line="276" w:before="0" w:after="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0.6</w:t>
            </w:r>
          </w:p>
        </w:tc>
      </w:tr>
      <w:tr>
        <w:trPr>
          <w:trHeight w:val="340" w:hRule="atLeast"/>
        </w:trPr>
        <w:tc>
          <w:tcPr>
            <w:tcW w:w="2971" w:type="dxa"/>
            <w:tcBorders/>
            <w:vAlign w:val="center"/>
          </w:tcPr>
          <w:p>
            <w:pPr>
              <w:pStyle w:val="Normal"/>
              <w:widowControl/>
              <w:spacing w:lineRule="auto" w:line="276" w:before="0" w:after="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Neige fraîche</w:t>
            </w:r>
          </w:p>
        </w:tc>
        <w:tc>
          <w:tcPr>
            <w:tcW w:w="2693" w:type="dxa"/>
            <w:tcBorders/>
            <w:vAlign w:val="center"/>
          </w:tcPr>
          <w:p>
            <w:pPr>
              <w:pStyle w:val="Normal"/>
              <w:widowControl/>
              <w:spacing w:lineRule="auto" w:line="276" w:before="0" w:after="0"/>
              <w:ind w:left="0" w:hanging="0"/>
              <w:jc w:val="center"/>
              <w:rPr>
                <w:rFonts w:ascii="Arial" w:hAnsi="Arial" w:eastAsia="Calibri" w:cs="Times New Roman"/>
                <w:kern w:val="0"/>
                <w:lang w:val="fr-FR" w:eastAsia="fr-FR" w:bidi="ar-SA"/>
              </w:rPr>
            </w:pPr>
            <w:r>
              <w:rPr>
                <w:rFonts w:eastAsia="Calibri" w:cs="Times New Roman"/>
                <w:kern w:val="0"/>
                <w:lang w:val="fr-FR" w:eastAsia="fr-FR" w:bidi="ar-SA"/>
              </w:rPr>
              <w:t>0.85</w:t>
            </w:r>
          </w:p>
        </w:tc>
      </w:tr>
    </w:tbl>
    <w:p>
      <w:pPr>
        <w:pStyle w:val="Normal"/>
        <w:spacing w:lineRule="auto" w:line="276" w:before="120" w:after="160"/>
        <w:ind w:left="0" w:hanging="0"/>
        <w:jc w:val="center"/>
        <w:rPr>
          <w:rFonts w:eastAsia="Arial" w:cs="Arial"/>
          <w:sz w:val="22"/>
          <w:szCs w:val="22"/>
        </w:rPr>
      </w:pPr>
      <w:r>
        <w:rPr>
          <w:rFonts w:eastAsia="Arial" w:cs="Arial"/>
          <w:sz w:val="22"/>
          <w:szCs w:val="22"/>
        </w:rPr>
        <w:t>Albédo de différentes surfaces (source : Météo France)</w:t>
      </w:r>
    </w:p>
    <w:p>
      <w:pPr>
        <w:pStyle w:val="Normal"/>
        <w:spacing w:lineRule="auto" w:line="276"/>
        <w:ind w:left="0" w:hanging="0"/>
        <w:jc w:val="both"/>
        <w:rPr>
          <w:rFonts w:eastAsia="Arial" w:cs="Arial"/>
        </w:rPr>
      </w:pPr>
      <w:r>
        <w:rPr>
          <w:rFonts w:eastAsia="Arial" w:cs="Arial"/>
          <w:b/>
          <w:bCs/>
        </w:rPr>
        <w:t>5.</w:t>
      </w:r>
      <w:r>
        <w:rPr>
          <w:rFonts w:eastAsia="Arial" w:cs="Arial"/>
        </w:rPr>
        <w:t xml:space="preserve"> Préciser si une augmentation de l’albedo terrestre produit une augmentation ou une diminution du forçage radiatif. En déduire que la fonte des glaces (terrestres et marines) se traduit par une augmentation du forçage radiatif. </w:t>
      </w:r>
    </w:p>
    <w:p>
      <w:pPr>
        <w:pStyle w:val="Normal"/>
        <w:spacing w:lineRule="auto" w:line="276" w:before="0" w:after="160"/>
        <w:ind w:left="0" w:hanging="0"/>
        <w:jc w:val="both"/>
        <w:rPr>
          <w:rFonts w:eastAsia="Arial" w:cs="Arial"/>
        </w:rPr>
      </w:pPr>
      <w:r>
        <w:rPr>
          <w:rFonts w:eastAsia="Arial" w:cs="Arial"/>
          <w:b/>
          <w:bCs/>
        </w:rPr>
        <w:t>6.</w:t>
      </w:r>
      <w:r>
        <w:rPr>
          <w:rFonts w:eastAsia="Arial" w:cs="Arial"/>
        </w:rPr>
        <w:t xml:space="preserve"> Expliquer pourquoi la fonte des glaces est un facteur de rétroaction positive de l’échauffement global du climat. Il est possible d’appuyer le raisonnement sur un schéma. </w:t>
      </w:r>
    </w:p>
    <w:sectPr>
      <w:headerReference w:type="default" r:id="rId6"/>
      <w:type w:val="nextPage"/>
      <w:pgSz w:w="11906" w:h="16838"/>
      <w:pgMar w:left="851" w:right="851" w:gutter="0" w:header="851" w:top="1414"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auto"/>
    <w:pitch w:val="default"/>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jc w:val="center"/>
      <w:rPr/>
    </w:pPr>
    <w:r>
      <w:rPr/>
      <w:t>Term - Climat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basedOn w:val="DefaultParagraphFont"/>
    <w:uiPriority w:val="99"/>
    <w:unhideWhenUsed/>
    <w:rsid w:val="00601cb7"/>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e46a5f"/>
    <w:pPr>
      <w:spacing w:before="0" w:after="160"/>
      <w:ind w:left="720" w:hanging="0"/>
      <w:contextualSpacing/>
    </w:pPr>
    <w:rPr/>
  </w:style>
  <w:style w:type="paragraph" w:styleId="NoSpacing">
    <w:name w:val="No Spacing"/>
    <w:uiPriority w:val="1"/>
    <w:qFormat/>
    <w:rsid w:val="00017f12"/>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fr-FR" w:bidi="ar-SA"/>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limate-chance.org/" TargetMode="External"/><Relationship Id="rId4" Type="http://schemas.openxmlformats.org/officeDocument/2006/relationships/image" Target="media/image2.png"/><Relationship Id="rId5" Type="http://schemas.openxmlformats.org/officeDocument/2006/relationships/hyperlink" Target="https://commons.wikimedia.org/w/index.php?curid=2501966"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LibreOffice/7.3.5.2$Linux_X86_64 LibreOffice_project/30$Build-2</Application>
  <AppVersion>15.0000</AppVersion>
  <Pages>3</Pages>
  <Words>432</Words>
  <Characters>2367</Characters>
  <CharactersWithSpaces>2776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2021-04-17T07:12:00Z</dcterms:created>
  <dc:creator/>
  <dc:description/>
  <dc:language>fr-FR</dc:language>
  <cp:lastModifiedBy/>
  <dcterms:modified xsi:type="dcterms:W3CDTF">2022-09-10T19:06:39Z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