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wmf" ContentType="image/x-wmf"/>
  <Override PartName="/word/embeddings/oleObject1.bin" ContentType="application/vnd.openxmlformats-officedocument.oleObjec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 w:before="120" w:after="120"/>
        <w:jc w:val="center"/>
        <w:rPr>
          <w:rFonts w:eastAsia="Calibri" w:cs="Arial" w:eastAsiaTheme="minorHAnsi"/>
          <w:b/>
          <w:b/>
          <w:szCs w:val="24"/>
          <w:lang w:eastAsia="en-US"/>
        </w:rPr>
      </w:pPr>
      <w:r>
        <w:rPr>
          <w:rFonts w:eastAsia="Calibri" w:cs="Arial" w:eastAsiaTheme="minorHAnsi"/>
          <w:b/>
          <w:szCs w:val="24"/>
          <w:lang w:eastAsia="en-US"/>
        </w:rPr>
        <w:t xml:space="preserve">Ressources d’énergie renouvelables (10 points) - </w:t>
      </w:r>
      <w:r>
        <w:rPr>
          <w:rFonts w:eastAsia="Calibri" w:cs="Arial" w:eastAsiaTheme="minorHAnsi"/>
          <w:b/>
          <w:szCs w:val="24"/>
          <w:lang w:eastAsia="en-US"/>
        </w:rPr>
        <w:t>Correction</w:t>
      </w:r>
    </w:p>
    <w:p>
      <w:pPr>
        <w:pStyle w:val="Normal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b/>
          <w:lang w:eastAsia="en-US"/>
        </w:rPr>
        <w:t>I. Étude du stockage chimique de l’énergie</w:t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1. Justifier pour chacune des étapes 2 et 3 du procédé si elle est endothermique ou exothermique.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>Lors des étapes 2 et 3, il y a libération d’énergie thermique. Ces étapes 2 et 3 sont donc exothermiques.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b/>
          <w:bCs/>
          <w:szCs w:val="24"/>
        </w:rPr>
        <w:t>2. Écrire l’équation de la réaction de combustion complète du méthane de formule brute CH</w:t>
      </w:r>
      <w:r>
        <w:rPr>
          <w:b/>
          <w:bCs/>
          <w:szCs w:val="24"/>
          <w:vertAlign w:val="subscript"/>
        </w:rPr>
        <w:t>4</w:t>
      </w:r>
      <w:r>
        <w:rPr>
          <w:b/>
          <w:bCs/>
          <w:szCs w:val="24"/>
        </w:rPr>
        <w:t>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La combustion complète </w:t>
      </w:r>
      <w:r>
        <w:drawing>
          <wp:anchor behindDoc="0" distT="0" distB="0" distL="0" distR="179705" simplePos="0" locked="0" layoutInCell="0" allowOverlap="1" relativeHeight="2">
            <wp:simplePos x="0" y="0"/>
            <wp:positionH relativeFrom="column">
              <wp:posOffset>1270</wp:posOffset>
            </wp:positionH>
            <wp:positionV relativeFrom="paragraph">
              <wp:posOffset>6350</wp:posOffset>
            </wp:positionV>
            <wp:extent cx="1323975" cy="857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4"/>
        </w:rPr>
        <w:t>nécessite du dioxygène 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et produit du dioxyde de carbone CO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et de l’eau H</w:t>
      </w:r>
      <w:r>
        <w:rPr>
          <w:szCs w:val="24"/>
          <w:vertAlign w:val="subscript"/>
        </w:rPr>
        <w:t>2</w:t>
      </w:r>
      <w:r>
        <w:rPr>
          <w:szCs w:val="24"/>
        </w:rPr>
        <w:t>O, on peut donc écrire :</w:t>
      </w:r>
    </w:p>
    <w:p>
      <w:pPr>
        <w:pStyle w:val="Normal"/>
        <w:rPr>
          <w:szCs w:val="24"/>
        </w:rPr>
      </w:pPr>
      <w:r>
        <w:rPr>
          <w:szCs w:val="24"/>
        </w:rPr>
        <w:tab/>
        <w:t>CH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+ 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>
        <w:rPr>
          <w:rFonts w:eastAsia="Wingdings" w:cs="Wingdings" w:ascii="Wingdings" w:hAnsi="Wingdings"/>
          <w:szCs w:val="24"/>
        </w:rPr>
        <w:t></w:t>
      </w:r>
      <w:r>
        <w:rPr>
          <w:szCs w:val="24"/>
        </w:rPr>
        <w:t xml:space="preserve"> CO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H</w:t>
      </w:r>
      <w:r>
        <w:rPr>
          <w:szCs w:val="24"/>
          <w:vertAlign w:val="subscript"/>
        </w:rPr>
        <w:t>2</w:t>
      </w:r>
      <w:r>
        <w:rPr>
          <w:szCs w:val="24"/>
        </w:rPr>
        <w:t>O</w:t>
      </w:r>
    </w:p>
    <w:p>
      <w:pPr>
        <w:pStyle w:val="Normal"/>
        <w:rPr>
          <w:szCs w:val="24"/>
        </w:rPr>
      </w:pPr>
      <w:r>
        <w:rPr>
          <w:szCs w:val="24"/>
        </w:rPr>
        <w:t>Telle quelle, cette équation n’est pas équilibrée : elle ne respecte pas ma conservation des éléments. On ajuste donc la stœchiométrie :</w:t>
      </w:r>
    </w:p>
    <w:p>
      <w:pPr>
        <w:pStyle w:val="Normal"/>
        <w:spacing w:before="0" w:after="120"/>
        <w:rPr>
          <w:szCs w:val="24"/>
        </w:rPr>
      </w:pPr>
      <w:r>
        <w:rPr>
          <w:szCs w:val="24"/>
        </w:rPr>
        <w:tab/>
        <w:tab/>
        <w:tab/>
        <w:tab/>
        <w:t>CH</w:t>
      </w:r>
      <w:r>
        <w:rPr>
          <w:szCs w:val="24"/>
          <w:vertAlign w:val="subscript"/>
        </w:rPr>
        <w:t>4</w:t>
      </w:r>
      <w:r>
        <w:rPr>
          <w:szCs w:val="24"/>
        </w:rPr>
        <w:t xml:space="preserve"> + 2 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</w:t>
      </w:r>
      <w:r>
        <w:rPr>
          <w:rFonts w:eastAsia="Wingdings" w:cs="Wingdings" w:ascii="Wingdings" w:hAnsi="Wingdings"/>
          <w:szCs w:val="24"/>
        </w:rPr>
        <w:t></w:t>
      </w:r>
      <w:r>
        <w:rPr>
          <w:szCs w:val="24"/>
        </w:rPr>
        <w:t xml:space="preserve"> CO</w:t>
      </w:r>
      <w:r>
        <w:rPr>
          <w:szCs w:val="24"/>
          <w:vertAlign w:val="subscript"/>
        </w:rPr>
        <w:t>2</w:t>
      </w:r>
      <w:r>
        <w:rPr>
          <w:szCs w:val="24"/>
        </w:rPr>
        <w:t xml:space="preserve"> + 2 H</w:t>
      </w:r>
      <w:r>
        <w:rPr>
          <w:szCs w:val="24"/>
          <w:vertAlign w:val="subscript"/>
        </w:rPr>
        <w:t>2</w:t>
      </w:r>
      <w:r>
        <w:rPr>
          <w:szCs w:val="24"/>
        </w:rPr>
        <w:t>O</w:t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3. Montrer, en détaillant les calculs, que la valeur expérimentale obtenue pour le pouvoir calorifique massique PC du méthane est de l’ordre de 29 MJ.kg</w:t>
      </w:r>
      <w:r>
        <w:rPr>
          <w:b/>
          <w:bCs/>
          <w:szCs w:val="24"/>
          <w:vertAlign w:val="superscript"/>
        </w:rPr>
        <w:t>-1</w:t>
      </w:r>
      <w:r>
        <w:rPr>
          <w:b/>
          <w:bCs/>
          <w:szCs w:val="24"/>
        </w:rPr>
        <w:t>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On calcule l’énergie libérée en appliquant la formule :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lib</m:t>
            </m:r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r</m:t>
            </m:r>
            <m:r>
              <w:rPr>
                <w:rFonts w:ascii="Cambria Math" w:hAnsi="Cambria Math"/>
              </w:rPr>
              <m:t xml:space="preserve">é</m:t>
            </m:r>
            <m:r>
              <w:rPr>
                <w:rFonts w:ascii="Cambria Math" w:hAnsi="Cambria Math"/>
              </w:rPr>
              <m:t xml:space="preserve">e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eau</m:t>
            </m:r>
          </m:sub>
        </m:sSub>
        <m:r>
          <w:rPr>
            <w:rFonts w:ascii="Cambria Math" w:hAnsi="Cambria Math"/>
          </w:rPr>
          <m:t xml:space="preserve">×</m:t>
        </m:r>
        <m:sSub>
          <m:e>
            <m:r>
              <w:rPr>
                <w:rFonts w:ascii="Cambria Math" w:hAnsi="Cambria Math"/>
              </w:rPr>
              <m:t xml:space="preserve">c</m:t>
            </m:r>
          </m:e>
          <m:sub>
            <m:r>
              <w:rPr>
                <w:rFonts w:ascii="Cambria Math" w:hAnsi="Cambria Math"/>
              </w:rPr>
              <m:t xml:space="preserve">eau</m:t>
            </m:r>
          </m:sub>
        </m:sSub>
        <m:r>
          <w:rPr>
            <w:rFonts w:ascii="Cambria Math" w:hAnsi="Cambria Math"/>
          </w:rPr>
          <m:t xml:space="preserve">×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f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T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</m:oMath>
    </w:p>
    <w:p>
      <w:pPr>
        <w:pStyle w:val="Normal"/>
        <w:jc w:val="center"/>
        <w:rPr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libérée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1,00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4,18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100,0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20,2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333</m:t>
          </m:r>
          <m:r>
            <w:rPr>
              <w:rFonts w:ascii="Cambria Math" w:hAnsi="Cambria Math"/>
            </w:rPr>
            <m:t xml:space="preserve">kJ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0,333</m:t>
          </m:r>
          <m:r>
            <w:rPr>
              <w:rFonts w:ascii="Cambria Math" w:hAnsi="Cambria Math"/>
            </w:rPr>
            <m:t xml:space="preserve">MJ</m:t>
          </m:r>
        </m:oMath>
      </m:oMathPara>
    </w:p>
    <w:p>
      <w:pPr>
        <w:pStyle w:val="Normal"/>
        <w:rPr>
          <w:szCs w:val="24"/>
        </w:rPr>
      </w:pPr>
      <w:r>
        <w:rPr>
          <w:szCs w:val="24"/>
        </w:rPr>
        <w:t>La masse moyenne de méthane consommée vaut</w:t>
      </w:r>
    </w:p>
    <w:p>
      <w:pPr>
        <w:pStyle w:val="Normal"/>
        <w:jc w:val="center"/>
        <w:rPr>
          <w:rFonts w:ascii="ar" w:hAnsi="ar"/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méthane</m:t>
              </m:r>
              <m:r>
                <w:rPr>
                  <w:rFonts w:ascii="Cambria Math" w:hAnsi="Cambria Math"/>
                </w:rPr>
                <m:t xml:space="preserve">consommée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12,1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10,9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11,6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11,0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11,8</m:t>
              </m:r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10,9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11,4</m:t>
          </m:r>
          <m:r>
            <w:rPr>
              <w:rFonts w:ascii="Cambria Math" w:hAnsi="Cambria Math"/>
            </w:rPr>
            <m:t xml:space="preserve">g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1,14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sup>
          </m:sSup>
          <m:r>
            <w:rPr>
              <w:rFonts w:ascii="Cambria Math" w:hAnsi="Cambria Math"/>
            </w:rPr>
            <m:t xml:space="preserve">kg</m:t>
          </m:r>
        </m:oMath>
      </m:oMathPara>
    </w:p>
    <w:p>
      <w:pPr>
        <w:pStyle w:val="Normal"/>
        <w:rPr>
          <w:rFonts w:eastAsia="Calibri" w:cs="Arial"/>
          <w:szCs w:val="24"/>
          <w:lang w:eastAsia="fr-FR" w:bidi="ar-SA"/>
        </w:rPr>
      </w:pPr>
      <w:r>
        <w:rPr>
          <w:szCs w:val="24"/>
        </w:rPr>
        <w:t xml:space="preserve">Le pouvoir calorifique massique du méthane vaut </w:t>
      </w:r>
      <w:r>
        <w:rPr/>
        <w:object>
          <v:shapetype id="_x0000_tole_rId3" coordsize="21600,21600" o:spt="ole_rId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" type="_x0000_tole_rId3" style="width:115.5pt;height:43.5pt;mso-wrap-distance-right:0pt" filled="f" o:ole="">
            <v:imagedata r:id="rId4" o:title=""/>
          </v:shape>
          <o:OLEObject Type="Embed" ProgID="Equation.DSMT4" ShapeID="ole_rId3" DrawAspect="Content" ObjectID="_1956544004" r:id="rId3"/>
        </w:object>
      </w:r>
      <w:r>
        <w:rPr>
          <w:rFonts w:eastAsia="Calibri" w:cs="Arial"/>
          <w:szCs w:val="24"/>
          <w:lang w:eastAsia="fr-FR" w:bidi="ar-SA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  <w:t xml:space="preserve">Donc 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P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0,333</m:t>
            </m:r>
          </m:num>
          <m:den>
            <m:r>
              <w:rPr>
                <w:rFonts w:ascii="Cambria Math" w:hAnsi="Cambria Math"/>
              </w:rPr>
              <m:t xml:space="preserve">1,14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29,2</m:t>
        </m:r>
        <m:r>
          <w:rPr>
            <w:rFonts w:ascii="Cambria Math" w:hAnsi="Cambria Math"/>
          </w:rPr>
          <m:t xml:space="preserve">MJ</m:t>
        </m:r>
        <m:r>
          <w:rPr>
            <w:rFonts w:ascii="Cambria Math" w:hAnsi="Cambria Math"/>
          </w:rPr>
          <m:t xml:space="preserve">.</m:t>
        </m:r>
        <m:sSup>
          <m:e>
            <m:r>
              <w:rPr>
                <w:rFonts w:ascii="Cambria Math" w:hAnsi="Cambria Math"/>
              </w:rPr>
              <m:t xml:space="preserve">kg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</m:oMath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4. Proposer une explication pour interpréter l’écart entre la valeur expérimentale du pouvoir calorifique massique du méthane et sa valeur de référence.</w:t>
      </w:r>
    </w:p>
    <w:p>
      <w:pPr>
        <w:pStyle w:val="Normal"/>
        <w:jc w:val="both"/>
        <w:rPr>
          <w:rFonts w:eastAsia="Calibri" w:cs="Arial" w:eastAsiaTheme="minorHAnsi"/>
          <w:lang w:eastAsia="en-US"/>
        </w:rPr>
      </w:pPr>
      <w:r>
        <w:rPr>
          <w:rFonts w:eastAsia="Calibri" w:cs="Arial" w:eastAsiaTheme="minorHAnsi"/>
          <w:lang w:eastAsia="en-US"/>
        </w:rPr>
        <w:t>La valeur de référence du pouvoir calorifique massique du méthane est 50 MJ.kg</w:t>
      </w:r>
      <w:r>
        <w:rPr>
          <w:rFonts w:eastAsia="Calibri" w:cs="Arial" w:eastAsiaTheme="minorHAnsi"/>
          <w:vertAlign w:val="superscript"/>
          <w:lang w:eastAsia="en-US"/>
        </w:rPr>
        <w:t>-1</w:t>
      </w:r>
      <w:r>
        <w:rPr>
          <w:rFonts w:eastAsia="Calibri" w:cs="Arial" w:eastAsiaTheme="minorHAnsi"/>
          <w:lang w:eastAsia="en-US"/>
        </w:rPr>
        <w:t>.</w:t>
      </w:r>
    </w:p>
    <w:p>
      <w:pPr>
        <w:pStyle w:val="Normal"/>
        <w:jc w:val="both"/>
        <w:rPr>
          <w:szCs w:val="24"/>
        </w:rPr>
      </w:pPr>
      <w:r>
        <w:rPr>
          <w:rFonts w:eastAsia="Calibri" w:cs="Arial" w:eastAsiaTheme="minorHAnsi"/>
          <w:lang w:eastAsia="en-US"/>
        </w:rPr>
        <w:t>On a trouvé une valeur bien plus faible.</w:t>
      </w:r>
      <w:r>
        <w:rPr>
          <w:szCs w:val="24"/>
        </w:rPr>
        <w:t xml:space="preserve"> On ne connaît rien du dispositif utilisé, mais il est probable que cet écart provienne du fait que la chaleur dégagée par la combustion ne soit pas intégralement transférée à l’eau. Le milieu extérieur reçoit une partie de cette chaleur. De même l’eau peut céder de la chaleur reçue vers le milieu extérieur au cours de son échauffement.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5. Répondre à la problématique 1 en déterminant la proportion d’énergie intermittente pouvant être considérée comme ayant été stockée par ce procédé. On utilisera la valeur de référence du pouvoir calorifique massique du méthane.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- Le pouvoir calorifique massique du méthane vaut </w:t>
      </w:r>
      <w:r>
        <w:rPr>
          <w:rFonts w:eastAsia="Calibri" w:cs="Arial" w:eastAsiaTheme="minorHAnsi"/>
          <w:lang w:eastAsia="en-US"/>
        </w:rPr>
        <w:t>50 MJ.kg</w:t>
      </w:r>
      <w:r>
        <w:rPr>
          <w:rFonts w:eastAsia="Calibri" w:cs="Arial" w:eastAsiaTheme="minorHAnsi"/>
          <w:vertAlign w:val="superscript"/>
          <w:lang w:eastAsia="en-US"/>
        </w:rPr>
        <w:t>-1</w:t>
      </w:r>
      <w:r>
        <w:rPr>
          <w:szCs w:val="24"/>
        </w:rPr>
        <w:t>, ainsi 1 kg de méthane libère une énergie thermique de 50 MJ. Mais seulement 25 % de cette énergie sera transformée en électricité, soit 50×25/100 = 12,5 MJ.</w:t>
      </w:r>
    </w:p>
    <w:p>
      <w:pPr>
        <w:pStyle w:val="Normal"/>
        <w:rPr>
          <w:szCs w:val="24"/>
        </w:rPr>
      </w:pPr>
      <w:r>
        <w:rPr>
          <w:szCs w:val="24"/>
        </w:rPr>
        <w:t>- Pour récupérer ces 12,5 MJ, on a dépensé 117 MJ d’énergie intermittente.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La proportion d’énergie intermittente pouvant être stockée par ce procédé vaut 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electrique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consomm</m:t>
                </m:r>
                <m:r>
                  <w:rPr>
                    <w:rFonts w:ascii="Cambria Math" w:hAnsi="Cambria Math"/>
                  </w:rPr>
                  <m:t xml:space="preserve">é</m:t>
                </m:r>
                <m:r>
                  <w:rPr>
                    <w:rFonts w:ascii="Cambria Math" w:hAnsi="Cambria Math"/>
                  </w:rPr>
                  <m:t xml:space="preserve">e</m:t>
                </m:r>
              </m:sub>
            </m:sSub>
          </m:den>
        </m:f>
      </m:oMath>
    </w:p>
    <w:p>
      <w:pPr>
        <w:pStyle w:val="Normal"/>
        <w:jc w:val="center"/>
        <w:rPr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p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12,5</m:t>
              </m:r>
            </m:num>
            <m:den>
              <m:r>
                <w:rPr>
                  <w:rFonts w:ascii="Cambria Math" w:hAnsi="Cambria Math"/>
                </w:rPr>
                <m:t xml:space="preserve">117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10,7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jc w:val="both"/>
        <w:rPr>
          <w:rFonts w:eastAsia="Calibri" w:cs="Arial" w:eastAsiaTheme="minorHAnsi"/>
          <w:b/>
          <w:b/>
          <w:lang w:eastAsia="en-US"/>
        </w:rPr>
      </w:pPr>
      <w:r>
        <w:rPr>
          <w:rFonts w:eastAsia="Calibri" w:cs="Arial" w:eastAsiaTheme="minorHAnsi"/>
          <w:b/>
          <w:lang w:eastAsia="en-US"/>
        </w:rPr>
        <w:t xml:space="preserve">Problématique 1 : en quoi le procédé de transformation du dioxyde de carbone en méthane peut-il permettre de répondre aux difficultés liées au caractère intermittent des énergies renouvelables ? 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>On répond maintenant à la problématique 1. Le stockage du méthane permet de récupérer 10,7% de l’énergie intermittente. Ce pourcentage est faible mais cela est tout de même loin d’être négligeable.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rFonts w:eastAsia="Calibri" w:cs="Arial" w:eastAsiaTheme="minorHAnsi"/>
          <w:i/>
          <w:i/>
          <w:lang w:eastAsia="en-US"/>
        </w:rPr>
      </w:pPr>
      <w:r>
        <w:rPr>
          <w:rFonts w:eastAsia="Calibri" w:cs="Arial" w:eastAsiaTheme="minorHAnsi"/>
          <w:b/>
          <w:lang w:eastAsia="en-US"/>
        </w:rPr>
        <w:t>II. El Hierro : île pionnière de l’énergie renouvelable</w:t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6. Exprimer la variation de l’énergie potentielle de pesanteur ∆</w:t>
      </w:r>
      <w:r>
        <w:rPr>
          <w:b/>
          <w:bCs/>
          <w:i/>
          <w:iCs/>
          <w:szCs w:val="24"/>
        </w:rPr>
        <w:t>E</w:t>
      </w:r>
      <w:r>
        <w:rPr>
          <w:b/>
          <w:bCs/>
          <w:szCs w:val="24"/>
          <w:vertAlign w:val="subscript"/>
        </w:rPr>
        <w:t>pp</w:t>
      </w:r>
      <w:r>
        <w:rPr>
          <w:b/>
          <w:bCs/>
          <w:szCs w:val="24"/>
        </w:rPr>
        <w:t xml:space="preserve"> de cette masse </w:t>
      </w:r>
      <w:r>
        <w:rPr>
          <w:b/>
          <w:bCs/>
          <w:i/>
          <w:iCs/>
          <w:szCs w:val="24"/>
        </w:rPr>
        <w:t>M</w:t>
      </w:r>
      <w:r>
        <w:rPr>
          <w:b/>
          <w:bCs/>
          <w:szCs w:val="24"/>
        </w:rPr>
        <w:t xml:space="preserve"> d’eau lors de sa chute à travers la conduite forcée, en fonction de </w:t>
      </w:r>
      <w:r>
        <w:rPr>
          <w:b/>
          <w:bCs/>
          <w:i/>
          <w:iCs/>
          <w:szCs w:val="24"/>
        </w:rPr>
        <w:t>ρ</w:t>
      </w:r>
      <w:r>
        <w:rPr>
          <w:b/>
          <w:bCs/>
          <w:szCs w:val="24"/>
          <w:vertAlign w:val="subscript"/>
        </w:rPr>
        <w:t>eau</w:t>
      </w:r>
      <w:r>
        <w:rPr>
          <w:b/>
          <w:bCs/>
          <w:szCs w:val="24"/>
        </w:rPr>
        <w:t xml:space="preserve">, </w:t>
      </w:r>
      <w:r>
        <w:rPr>
          <w:b/>
          <w:bCs/>
          <w:i/>
          <w:iCs/>
          <w:szCs w:val="24"/>
        </w:rPr>
        <w:t>V</w:t>
      </w:r>
      <w:r>
        <w:rPr>
          <w:b/>
          <w:bCs/>
          <w:szCs w:val="24"/>
          <w:vertAlign w:val="subscript"/>
        </w:rPr>
        <w:t>inf</w:t>
      </w:r>
      <w:r>
        <w:rPr>
          <w:b/>
          <w:bCs/>
          <w:szCs w:val="24"/>
        </w:rPr>
        <w:t xml:space="preserve">, </w:t>
      </w:r>
      <w:r>
        <w:rPr>
          <w:b/>
          <w:bCs/>
          <w:i/>
          <w:iCs/>
          <w:szCs w:val="24"/>
        </w:rPr>
        <w:t>g</w:t>
      </w:r>
      <w:r>
        <w:rPr>
          <w:b/>
          <w:bCs/>
          <w:szCs w:val="24"/>
        </w:rPr>
        <w:t xml:space="preserve">, </w:t>
      </w:r>
      <w:r>
        <w:rPr>
          <w:b/>
          <w:bCs/>
          <w:i/>
          <w:iCs/>
          <w:szCs w:val="24"/>
        </w:rPr>
        <w:t>z</w:t>
      </w:r>
      <w:r>
        <w:rPr>
          <w:b/>
          <w:bCs/>
          <w:szCs w:val="24"/>
          <w:vertAlign w:val="subscript"/>
        </w:rPr>
        <w:t>sup</w:t>
      </w:r>
      <w:r>
        <w:rPr>
          <w:b/>
          <w:bCs/>
          <w:szCs w:val="24"/>
        </w:rPr>
        <w:t xml:space="preserve"> et </w:t>
      </w:r>
      <w:r>
        <w:rPr>
          <w:b/>
          <w:bCs/>
          <w:i/>
          <w:iCs/>
          <w:szCs w:val="24"/>
        </w:rPr>
        <w:t>z</w:t>
      </w:r>
      <w:r>
        <w:rPr>
          <w:b/>
          <w:bCs/>
          <w:szCs w:val="24"/>
          <w:vertAlign w:val="subscript"/>
        </w:rPr>
        <w:t>inf</w:t>
      </w:r>
      <w:r>
        <w:rPr>
          <w:b/>
          <w:bCs/>
          <w:szCs w:val="24"/>
        </w:rPr>
        <w:t>. Montrer que la valeur de ∆</w:t>
      </w:r>
      <w:r>
        <w:rPr>
          <w:b/>
          <w:bCs/>
          <w:i/>
          <w:iCs/>
          <w:szCs w:val="24"/>
        </w:rPr>
        <w:t>E</w:t>
      </w:r>
      <w:r>
        <w:rPr>
          <w:b/>
          <w:bCs/>
          <w:szCs w:val="24"/>
          <w:vertAlign w:val="subscript"/>
        </w:rPr>
        <w:t>pp</w:t>
      </w:r>
      <w:r>
        <w:rPr>
          <w:b/>
          <w:bCs/>
          <w:szCs w:val="24"/>
        </w:rPr>
        <w:t xml:space="preserve"> est de l’ordre de − 950 GJ.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>La variation d’énergie potentielle de pesanteur d’un objet de masse M entre 2 points A et B d’altitude z</w:t>
      </w:r>
      <w:r>
        <w:rPr>
          <w:szCs w:val="24"/>
          <w:vertAlign w:val="subscript"/>
        </w:rPr>
        <w:t>A</w:t>
      </w:r>
      <w:r>
        <w:rPr>
          <w:szCs w:val="24"/>
        </w:rPr>
        <w:t xml:space="preserve"> et z</w:t>
      </w:r>
      <w:r>
        <w:rPr>
          <w:szCs w:val="24"/>
          <w:vertAlign w:val="subscript"/>
        </w:rPr>
        <w:t>B</w:t>
      </w:r>
      <w:r>
        <w:rPr>
          <w:szCs w:val="24"/>
        </w:rPr>
        <w:t xml:space="preserve"> s’écrit 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e>
        </m:d>
      </m:oMath>
    </w:p>
    <w:p>
      <w:pPr>
        <w:pStyle w:val="Normal"/>
        <w:rPr>
          <w:szCs w:val="24"/>
        </w:rPr>
      </w:pPr>
      <w:r>
        <w:rPr>
          <w:szCs w:val="24"/>
        </w:rPr>
        <w:t xml:space="preserve">La masse </w:t>
      </w:r>
      <w:r>
        <w:rPr>
          <w:i/>
          <w:iCs/>
          <w:szCs w:val="24"/>
        </w:rPr>
        <w:t>M</w:t>
      </w:r>
      <w:r>
        <w:rPr>
          <w:szCs w:val="24"/>
        </w:rPr>
        <w:t xml:space="preserve"> d’un objet de masse volumique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</m:oMath>
      <w:r>
        <w:rPr>
          <w:szCs w:val="24"/>
        </w:rPr>
        <w:t xml:space="preserve"> et de volume </w:t>
      </w:r>
      <w:r>
        <w:rPr>
          <w:i/>
          <w:iCs/>
          <w:szCs w:val="24"/>
        </w:rPr>
        <w:t>V</w:t>
      </w:r>
      <w:r>
        <w:rPr>
          <w:szCs w:val="24"/>
        </w:rPr>
        <w:t xml:space="preserve"> vaut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jc w:val="center"/>
        <w:rPr>
          <w:szCs w:val="24"/>
        </w:rPr>
      </w:pPr>
      <w:r>
        <w:rPr>
          <w:szCs w:val="24"/>
        </w:rPr>
        <w:t>En combinant ces 2 relations, on obtient la variation d’énergie potentielle de pesanteur lors du remplissage du réservoir inférieur :</w:t>
        <w:br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Δ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eau</m:t>
            </m:r>
          </m:sub>
        </m:sSub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inf</m:t>
            </m:r>
          </m:sub>
        </m:sSub>
        <m: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.</m:t>
        </m:r>
        <m:d>
          <m:dPr>
            <m:begChr m:val="("/>
            <m:endChr m:val=")"/>
          </m:dPr>
          <m:e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inf</m:t>
                </m:r>
              </m:sub>
            </m:sSub>
            <m:r>
              <w:rPr>
                <w:rFonts w:ascii="Cambria Math" w:hAnsi="Cambria Math"/>
              </w:rPr>
              <m:t xml:space="preserve">–</m:t>
            </m:r>
            <m:sSub>
              <m:e>
                <m:r>
                  <w:rPr>
                    <w:rFonts w:ascii="Cambria Math" w:hAnsi="Cambria Math"/>
                  </w:rPr>
                  <m:t xml:space="preserve">z</m:t>
                </m:r>
              </m:e>
              <m:sub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sup</m:t>
                </m:r>
              </m:sub>
            </m:sSub>
          </m:e>
        </m:d>
      </m:oMath>
    </w:p>
    <w:p>
      <w:pPr>
        <w:pStyle w:val="Normal"/>
        <w:jc w:val="center"/>
        <w:rPr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Δ</m:t>
          </m:r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pp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1000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150</m:t>
          </m:r>
          <m:r>
            <w:rPr>
              <w:rFonts w:ascii="Cambria Math" w:hAnsi="Cambria Math"/>
            </w:rPr>
            <m:t xml:space="preserve">000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9,81</m:t>
          </m:r>
          <m:r>
            <w:rPr>
              <w:rFonts w:ascii="Cambria Math" w:hAnsi="Cambria Math"/>
            </w:rPr>
            <m:t xml:space="preserve">×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50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700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9,56</m:t>
          </m:r>
          <m:r>
            <w:rPr>
              <w:rFonts w:ascii="Cambria Math" w:hAnsi="Cambria Math"/>
            </w:rPr>
            <m:t xml:space="preserve">×</m:t>
          </m:r>
          <m:sSup>
            <m:e>
              <m:r>
                <w:rPr>
                  <w:rFonts w:ascii="Cambria Math" w:hAnsi="Cambria Math"/>
                </w:rPr>
                <m:t xml:space="preserve">10</m:t>
              </m:r>
            </m:e>
            <m:sup>
              <m:r>
                <w:rPr>
                  <w:rFonts w:ascii="Cambria Math" w:hAnsi="Cambria Math"/>
                </w:rPr>
                <m:t xml:space="preserve">11</m:t>
              </m:r>
            </m:sup>
          </m:sSup>
          <m:r>
            <w:rPr>
              <w:rFonts w:ascii="Cambria Math" w:hAnsi="Cambria Math"/>
            </w:rPr>
            <m:t xml:space="preserve">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956</m:t>
          </m:r>
          <m:r>
            <w:rPr>
              <w:rFonts w:ascii="Cambria Math" w:hAnsi="Cambria Math"/>
            </w:rPr>
            <m:t xml:space="preserve">GJ</m:t>
          </m:r>
        </m:oMath>
      </m:oMathPara>
    </w:p>
    <w:p>
      <w:pPr>
        <w:pStyle w:val="Normal"/>
        <w:rPr>
          <w:szCs w:val="24"/>
        </w:rPr>
      </w:pPr>
      <w:r>
        <w:rPr>
          <w:szCs w:val="24"/>
        </w:rPr>
        <w:t>La valeur obtenue est bien de l’ordre de – 950 GJ.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 xml:space="preserve">7. En considérant que l’eau est immobile dans le réservoir supérieur et que la chute à travers la conduite s’effectue sans frottement, déterminer la valeur de l’énergie cinétique de cette masse </w:t>
      </w:r>
      <w:r>
        <w:rPr>
          <w:b/>
          <w:bCs/>
          <w:i/>
          <w:iCs/>
          <w:szCs w:val="24"/>
        </w:rPr>
        <w:t>M</w:t>
      </w:r>
      <w:r>
        <w:rPr>
          <w:b/>
          <w:bCs/>
          <w:szCs w:val="24"/>
        </w:rPr>
        <w:t xml:space="preserve"> d’eau lorsqu’elle actionne les turbines.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Si l’on considère que la chute de l’eau s’effectue sans frottement, alors on peut utiliser la conservation de l’énergie mécanique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inf</m:t>
            </m:r>
          </m:e>
        </m:d>
      </m:oMath>
      <w:r>
        <w:rPr>
          <w:szCs w:val="24"/>
        </w:rPr>
        <w:t xml:space="preserve"> avec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m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szCs w:val="24"/>
        </w:rPr>
        <w:t xml:space="preserve"> avec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</m:oMath>
      <w:r>
        <w:rPr>
          <w:szCs w:val="24"/>
        </w:rPr>
        <w:t xml:space="preserve"> énergie potentielle de pesanteur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</m:oMath>
      <w:r>
        <w:rPr>
          <w:szCs w:val="24"/>
        </w:rPr>
        <w:t xml:space="preserve"> énergie cinétique.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 xml:space="preserve">Au niveau du réservoir supérieur, on 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956</m:t>
        </m:r>
        <m:r>
          <w:rPr>
            <w:rFonts w:ascii="Cambria Math" w:hAnsi="Cambria Math"/>
          </w:rPr>
          <m:t xml:space="preserve">GJ</m:t>
        </m:r>
      </m:oMath>
      <w:r>
        <w:rPr>
          <w:szCs w:val="24"/>
        </w:rPr>
        <w:t xml:space="preserve"> et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J</m:t>
        </m:r>
      </m:oMath>
      <w:r>
        <w:rPr>
          <w:szCs w:val="24"/>
        </w:rPr>
        <w:t xml:space="preserve"> et au niveau du réservoir inférieur on 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inf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J</m:t>
        </m:r>
      </m:oMath>
      <w:r>
        <w:rPr>
          <w:szCs w:val="24"/>
        </w:rPr>
        <w:t xml:space="preserve">. La conservation de l’énergie mécanique nous permet de déterminer que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c</m:t>
            </m:r>
          </m:sub>
        </m:sSub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inf</m:t>
            </m:r>
          </m:e>
        </m:d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pp</m:t>
            </m:r>
          </m:sub>
        </m:sSub>
        <m:d>
          <m:dPr>
            <m:begChr m:val="("/>
            <m:endChr m:val=")"/>
          </m:dPr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sup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956</m:t>
        </m:r>
        <m:r>
          <w:rPr>
            <w:rFonts w:ascii="Cambria Math" w:hAnsi="Cambria Math"/>
          </w:rPr>
          <m:t xml:space="preserve">GJ</m:t>
        </m:r>
      </m:oMath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8. Sachant que le rendement de la phase de turbinage est de 90 %, calculer la valeur de l’énergie électrique que peut fournir la centrale hydro-électrique.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Le rendement est défini par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produite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E</m:t>
                </m:r>
              </m:e>
              <m:sub>
                <m:r>
                  <w:rPr>
                    <w:rFonts w:ascii="Cambria Math" w:hAnsi="Cambria Math"/>
                  </w:rPr>
                  <m:t xml:space="preserve">disponible</m:t>
                </m:r>
              </m:sub>
            </m:sSub>
          </m:den>
        </m:f>
      </m:oMath>
      <w:r>
        <w:rPr>
          <w:szCs w:val="24"/>
        </w:rPr>
        <w:t xml:space="preserve">, donc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produite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η</m:t>
        </m:r>
        <m:r>
          <w:rPr>
            <w:rFonts w:ascii="Cambria Math" w:hAnsi="Cambria Math"/>
          </w:rPr>
          <m:t xml:space="preserve">.</m:t>
        </m:r>
        <m:sSub>
          <m:e>
            <m:r>
              <w:rPr>
                <w:rFonts w:ascii="Cambria Math" w:hAnsi="Cambria Math"/>
              </w:rPr>
              <m:t xml:space="preserve">E</m:t>
            </m:r>
          </m:e>
          <m:sub>
            <m:r>
              <w:rPr>
                <w:rFonts w:ascii="Cambria Math" w:hAnsi="Cambria Math"/>
              </w:rPr>
              <m:t xml:space="preserve">disponible</m:t>
            </m:r>
          </m:sub>
        </m:sSub>
      </m:oMath>
    </w:p>
    <w:p>
      <w:pPr>
        <w:pStyle w:val="Normal"/>
        <w:jc w:val="center"/>
        <w:rPr>
          <w:szCs w:val="24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E</m:t>
              </m:r>
            </m:e>
            <m:sub>
              <m:r>
                <w:rPr>
                  <w:rFonts w:ascii="Cambria Math" w:hAnsi="Cambria Math"/>
                </w:rPr>
                <m:t xml:space="preserve">produite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0,90</m:t>
          </m:r>
          <m:r>
            <w:rPr>
              <w:rFonts w:ascii="Cambria Math" w:hAnsi="Cambria Math"/>
            </w:rPr>
            <m:t xml:space="preserve">×</m:t>
          </m:r>
          <m:r>
            <w:rPr>
              <w:rFonts w:ascii="Cambria Math" w:hAnsi="Cambria Math"/>
            </w:rPr>
            <m:t xml:space="preserve">956</m:t>
          </m:r>
          <m:r>
            <w:rPr>
              <w:rFonts w:ascii="Cambria Math" w:hAnsi="Cambria Math"/>
            </w:rPr>
            <m:t xml:space="preserve">GJ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860</m:t>
          </m:r>
          <m:r>
            <w:rPr>
              <w:rFonts w:ascii="Cambria Math" w:hAnsi="Cambria Math"/>
            </w:rPr>
            <m:t xml:space="preserve">GJ</m:t>
          </m:r>
        </m:oMath>
      </m:oMathPara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  <w:t>9. Répondre à la problématique 2 en déterminant le nombre de jours d’autonomie sans vent que représente la réserve d’eau des bassins.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La consommation annuelle sur l’île est de 42,0 GWh, soit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42,0</m:t>
            </m:r>
            <m:r>
              <w:rPr>
                <w:rFonts w:ascii="Cambria Math" w:hAnsi="Cambria Math"/>
              </w:rPr>
              <m:t xml:space="preserve">×</m:t>
            </m:r>
            <m:r>
              <w:rPr>
                <w:rFonts w:ascii="Cambria Math" w:hAnsi="Cambria Math"/>
              </w:rPr>
              <m:t xml:space="preserve">360</m:t>
            </m:r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GJ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1,51</m:t>
        </m:r>
        <m:r>
          <w:rPr>
            <w:rFonts w:ascii="Cambria Math" w:hAnsi="Cambria Math"/>
          </w:rPr>
          <m:t xml:space="preserve">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GJ</m:t>
        </m:r>
      </m:oMath>
      <w:r>
        <w:rPr>
          <w:szCs w:val="24"/>
        </w:rPr>
        <w:t>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Cela correspond à une consommation quotidienne de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1,51</m:t>
            </m:r>
            <m:r>
              <w:rPr>
                <w:rFonts w:ascii="Cambria Math" w:hAnsi="Cambria Math"/>
              </w:rPr>
              <m:t xml:space="preserve">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365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414</m:t>
        </m:r>
        <m:r>
          <w:rPr>
            <w:rFonts w:ascii="Cambria Math" w:hAnsi="Cambria Math"/>
          </w:rPr>
          <m:t xml:space="preserve">GJ</m:t>
        </m:r>
      </m:oMath>
      <w:r>
        <w:rPr>
          <w:szCs w:val="24"/>
        </w:rPr>
        <w:t>.</w:t>
      </w:r>
    </w:p>
    <w:p>
      <w:pPr>
        <w:pStyle w:val="Normal"/>
        <w:rPr>
          <w:szCs w:val="24"/>
        </w:rPr>
      </w:pPr>
      <w:r>
        <w:rPr>
          <w:szCs w:val="24"/>
        </w:rPr>
        <w:t>Le turbinage de la réserve d’eau fournit 860 GJ.</w:t>
      </w:r>
    </w:p>
    <w:p>
      <w:pPr>
        <w:pStyle w:val="Normal"/>
        <w:rPr>
          <w:szCs w:val="24"/>
        </w:rPr>
      </w:pPr>
      <w:r>
        <w:rPr>
          <w:szCs w:val="24"/>
        </w:rPr>
        <w:t xml:space="preserve">L’autonomie sans vent que représente la réserve d’eau est donc de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t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860</m:t>
            </m:r>
          </m:num>
          <m:den>
            <m:r>
              <w:rPr>
                <w:rFonts w:ascii="Cambria Math" w:hAnsi="Cambria Math"/>
              </w:rPr>
              <m:t xml:space="preserve">414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jours</m:t>
        </m:r>
      </m:oMath>
    </w:p>
    <w:p>
      <w:pPr>
        <w:pStyle w:val="Normal"/>
        <w:jc w:val="both"/>
        <w:rPr>
          <w:rFonts w:eastAsia="Calibri" w:cs="Arial" w:eastAsiaTheme="minorHAnsi"/>
          <w:b/>
          <w:b/>
          <w:lang w:eastAsia="en-US"/>
        </w:rPr>
      </w:pPr>
      <w:r>
        <w:rPr>
          <w:rFonts w:eastAsia="Calibri" w:cs="Arial" w:eastAsiaTheme="minorHAnsi"/>
          <w:b/>
          <w:lang w:eastAsia="en-US"/>
        </w:rPr>
        <w:t>Problématique 2 : en quoi les infrastructures de l’île de El Hierro lui permettent-elle de s’affranchir des énergies fossiles ?</w:t>
      </w:r>
    </w:p>
    <w:p>
      <w:pPr>
        <w:pStyle w:val="Normal"/>
        <w:jc w:val="both"/>
        <w:rPr>
          <w:szCs w:val="24"/>
        </w:rPr>
      </w:pPr>
      <w:r>
        <w:rPr>
          <w:szCs w:val="24"/>
        </w:rPr>
        <w:t>Le dispositif étudié ne permet pas de s’affranchir des énergies fossiles au-delà de 2 jours sans vent. Nous ne disposons pas d’information sur l’exposition au vent de cette île, mais il semble que cette autonomie soit trop courte pour s’affranchir réellement des énergies fossiles.</w:t>
      </w:r>
    </w:p>
    <w:sectPr>
      <w:type w:val="nextPage"/>
      <w:pgSz w:w="11906" w:h="16838"/>
      <w:pgMar w:left="850" w:right="850" w:gutter="0" w:header="0" w:top="850" w:footer="0" w:bottom="850"/>
      <w:pgNumType w:fmt="decimal"/>
      <w:formProt w:val="false"/>
      <w:textDirection w:val="lrTb"/>
      <w:docGrid w:type="default" w:linePitch="312" w:charSpace="184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roman"/>
    <w:pitch w:val="variable"/>
  </w:font>
  <w:font w:name="ar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05b10"/>
    <w:pPr>
      <w:widowControl/>
      <w:suppressAutoHyphens w:val="true"/>
      <w:bidi w:val="0"/>
      <w:spacing w:before="0" w:after="0"/>
      <w:jc w:val="left"/>
    </w:pPr>
    <w:rPr>
      <w:rFonts w:ascii="Arial" w:hAnsi="Arial" w:eastAsia="NSimSun" w:cs="Lucida Sans"/>
      <w:color w:val="auto"/>
      <w:kern w:val="2"/>
      <w:sz w:val="24"/>
      <w:szCs w:val="20"/>
      <w:lang w:val="fr-FR" w:eastAsia="zh-CN" w:bidi="hi-IN"/>
    </w:rPr>
  </w:style>
  <w:style w:type="paragraph" w:styleId="Titre1">
    <w:name w:val="Heading 1"/>
    <w:basedOn w:val="Normal"/>
    <w:next w:val="Corpsdetexte"/>
    <w:uiPriority w:val="9"/>
    <w:qFormat/>
    <w:pPr>
      <w:numPr>
        <w:ilvl w:val="0"/>
        <w:numId w:val="1"/>
      </w:numPr>
      <w:spacing w:before="170" w:after="170"/>
      <w:outlineLvl w:val="0"/>
    </w:pPr>
    <w:rPr>
      <w:sz w:val="28"/>
      <w:szCs w:val="28"/>
    </w:rPr>
  </w:style>
  <w:style w:type="paragraph" w:styleId="Titre2">
    <w:name w:val="Heading 2"/>
    <w:basedOn w:val="Normal"/>
    <w:next w:val="Corpsdetexte"/>
    <w:uiPriority w:val="9"/>
    <w:semiHidden/>
    <w:unhideWhenUsed/>
    <w:qFormat/>
    <w:pPr>
      <w:numPr>
        <w:ilvl w:val="1"/>
        <w:numId w:val="1"/>
      </w:numPr>
      <w:spacing w:before="113" w:after="113"/>
      <w:outlineLvl w:val="1"/>
    </w:pPr>
    <w:rPr>
      <w:szCs w:val="24"/>
      <w:u w:val="single"/>
    </w:rPr>
  </w:style>
  <w:style w:type="paragraph" w:styleId="Titre3">
    <w:name w:val="Heading 3"/>
    <w:basedOn w:val="Normal"/>
    <w:next w:val="Corpsdetexte"/>
    <w:uiPriority w:val="9"/>
    <w:semiHidden/>
    <w:unhideWhenUsed/>
    <w:qFormat/>
    <w:pPr>
      <w:numPr>
        <w:ilvl w:val="2"/>
        <w:numId w:val="1"/>
      </w:numPr>
      <w:spacing w:before="113" w:after="113"/>
      <w:outlineLvl w:val="2"/>
    </w:pPr>
    <w:rPr>
      <w:b/>
      <w:bCs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basedOn w:val="DefaultParagraphFont"/>
    <w:uiPriority w:val="99"/>
    <w:semiHidden/>
    <w:unhideWhenUsed/>
    <w:rsid w:val="00d05b10"/>
    <w:rPr>
      <w:color w:val="0000FF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>
      <w:rFonts w:ascii="Liberation Sans" w:hAnsi="Liberation Sans"/>
      <w:sz w:val="20"/>
    </w:rPr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Titreprincipal">
    <w:name w:val="Title"/>
    <w:basedOn w:val="Normal"/>
    <w:next w:val="Corpsdetexte"/>
    <w:uiPriority w:val="10"/>
    <w:qFormat/>
    <w:pPr>
      <w:spacing w:before="170" w:after="170"/>
      <w:jc w:val="right"/>
    </w:pPr>
    <w:rPr>
      <w:b/>
      <w:bCs/>
      <w:i/>
      <w:iCs/>
      <w:sz w:val="32"/>
      <w:szCs w:val="32"/>
      <w:u w:val="single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styleId="Soustitre">
    <w:name w:val="Subtitle"/>
    <w:basedOn w:val="Normal"/>
    <w:next w:val="Corpsdetexte"/>
    <w:uiPriority w:val="11"/>
    <w:qFormat/>
    <w:pPr>
      <w:spacing w:before="0" w:after="113"/>
      <w:jc w:val="right"/>
    </w:pPr>
    <w:rPr>
      <w:i/>
      <w:iCs/>
      <w:sz w:val="32"/>
      <w:szCs w:val="32"/>
    </w:rPr>
  </w:style>
  <w:style w:type="paragraph" w:styleId="Contenudetableau" w:customStyle="1">
    <w:name w:val="Contenu de tableau"/>
    <w:basedOn w:val="Normal"/>
    <w:qFormat/>
    <w:pPr>
      <w:suppressLineNumbers/>
    </w:pPr>
    <w:rPr>
      <w:rFonts w:ascii="Liberation Sans" w:hAnsi="Liberation Sans"/>
      <w:sz w:val="20"/>
    </w:rPr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05b10"/>
    <w:rPr>
      <w:lang w:eastAsia="fr-FR" w:bidi="ar-SA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oleObject" Target="embeddings/oleObject1.bin"/><Relationship Id="rId4" Type="http://schemas.openxmlformats.org/officeDocument/2006/relationships/image" Target="media/image2.wmf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Application>LibreOffice/7.4.2.3$Linux_X86_64 LibreOffice_project/40$Build-3</Application>
  <AppVersion>15.0000</AppVersion>
  <Pages>2</Pages>
  <Words>806</Words>
  <Characters>4031</Characters>
  <CharactersWithSpaces>4822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2020-06-18T14:48:00Z</dcterms:created>
  <dc:creator>jocelyn CLEMENT</dc:creator>
  <dc:description/>
  <dc:language>fr-FR</dc:language>
  <cp:lastModifiedBy/>
  <cp:lastPrinted>2020-07-21T15:41:00Z</cp:lastPrinted>
  <dcterms:modified xsi:type="dcterms:W3CDTF">2022-12-28T16:20:25Z</dcterms:modified>
  <cp:revision>20</cp:revision>
  <dc:subject/>
  <dc:title>E3C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