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png" ContentType="image/png"/>
  <Override PartName="/word/media/image8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Autospacing="0" w:before="0" w:afterAutospacing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PRÉVENTION D’UN TRAUMATISME ACOUSTIQUE 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Autospacing="0" w:before="0" w:afterAutospacing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CORRECTION</w:t>
      </w:r>
    </w:p>
    <w:p>
      <w:pPr>
        <w:pStyle w:val="Normal"/>
        <w:spacing w:lineRule="auto" w:line="276"/>
        <w:rPr>
          <w:rFonts w:eastAsia="Arial"/>
          <w:b/>
          <w:b/>
          <w:color w:val="000000"/>
          <w:sz w:val="10"/>
          <w:szCs w:val="10"/>
        </w:rPr>
      </w:pPr>
      <w:r>
        <w:rPr>
          <w:rFonts w:eastAsia="Arial"/>
          <w:b/>
          <w:color w:val="000000"/>
          <w:sz w:val="10"/>
          <w:szCs w:val="10"/>
        </w:rPr>
      </w:r>
    </w:p>
    <w:p>
      <w:pPr>
        <w:pStyle w:val="Normal"/>
        <w:spacing w:lineRule="auto" w:line="276"/>
        <w:jc w:val="both"/>
        <w:rPr>
          <w:rFonts w:eastAsia="Arial"/>
          <w:color w:val="FF0000"/>
        </w:rPr>
      </w:pPr>
      <w:r>
        <w:rPr>
          <w:rFonts w:eastAsia="Arial"/>
          <w:b/>
          <w:color w:val="000000"/>
        </w:rPr>
        <w:t>1-</w:t>
      </w:r>
      <w:r>
        <w:rPr>
          <w:rFonts w:eastAsia="Arial"/>
          <w:color w:val="000000"/>
        </w:rPr>
        <w:t xml:space="preserve"> </w:t>
      </w:r>
      <w:r>
        <w:rPr>
          <w:rFonts w:eastAsia="Arial"/>
          <w:b/>
          <w:bCs/>
          <w:color w:val="000000"/>
        </w:rPr>
        <w:t xml:space="preserve">(2pts) </w:t>
      </w:r>
      <w:r>
        <w:rPr>
          <w:rFonts w:cs="Arial"/>
          <w:bCs/>
        </w:rPr>
        <w:t xml:space="preserve">Dans l’oreille interne, des structures cellulaires (cils vibratiles) entrent en résonance avec les vibrations reçues </w:t>
      </w:r>
      <w:r>
        <w:rPr>
          <w:rFonts w:cs="Arial"/>
          <w:b/>
          <w:bCs/>
        </w:rPr>
        <w:t>et les traduisent en un message nerveux</w:t>
      </w:r>
      <w:r>
        <w:rPr>
          <w:rFonts w:cs="Arial"/>
          <w:bCs/>
        </w:rPr>
        <w:t xml:space="preserve"> qui se dirige vers le cerveau.</w:t>
      </w:r>
    </w:p>
    <w:p>
      <w:pPr>
        <w:pStyle w:val="Normal"/>
        <w:spacing w:lineRule="auto" w:line="276"/>
        <w:jc w:val="both"/>
        <w:rPr>
          <w:rFonts w:cs="Arial"/>
          <w:bCs/>
        </w:rPr>
      </w:pPr>
      <w:r>
        <w:rPr>
          <w:rFonts w:cs="Arial"/>
          <w:bCs/>
        </w:rPr>
        <w:t xml:space="preserve">En cas de sur-stimulation sonore, il y a </w:t>
      </w:r>
      <w:r>
        <w:rPr>
          <w:rFonts w:cs="Arial"/>
          <w:b/>
          <w:bCs/>
        </w:rPr>
        <w:t>destruction des cellules ciliées</w:t>
      </w:r>
      <w:r>
        <w:rPr>
          <w:rFonts w:cs="Arial"/>
          <w:bCs/>
        </w:rPr>
        <w:t xml:space="preserve"> (voir document 2), ce qui entraine une </w:t>
      </w:r>
      <w:r>
        <w:rPr>
          <w:rFonts w:cs="Arial"/>
          <w:b/>
          <w:bCs/>
        </w:rPr>
        <w:t>dégradation de l’audition</w:t>
      </w:r>
      <w:r>
        <w:rPr>
          <w:rFonts w:cs="Arial"/>
          <w:bCs/>
        </w:rPr>
        <w:t xml:space="preserve"> car l’information sonore canalisée par l’oreille externe puis transmise par l’oreille moyenne n’est plus correctement convertie en influx nerveux.</w:t>
      </w:r>
    </w:p>
    <w:p>
      <w:pPr>
        <w:pStyle w:val="Normal"/>
        <w:spacing w:lineRule="auto" w:line="276"/>
        <w:jc w:val="both"/>
        <w:rPr>
          <w:rFonts w:cs="Arial"/>
          <w:b/>
          <w:b/>
          <w:bCs/>
        </w:rPr>
      </w:pPr>
      <w:r>
        <w:rPr>
          <w:rFonts w:cs="Arial"/>
          <w:bCs/>
        </w:rPr>
        <w:t xml:space="preserve">On parle de </w:t>
      </w:r>
      <w:r>
        <w:rPr>
          <w:rFonts w:cs="Arial"/>
          <w:b/>
          <w:bCs/>
        </w:rPr>
        <w:t>surdité acquise</w:t>
      </w:r>
      <w:r>
        <w:rPr>
          <w:rFonts w:cs="Arial"/>
          <w:bCs/>
        </w:rPr>
        <w:t xml:space="preserve"> (en opposition à surdité temporaire) car </w:t>
      </w:r>
      <w:r>
        <w:rPr>
          <w:rFonts w:cs="Arial"/>
          <w:b/>
          <w:bCs/>
        </w:rPr>
        <w:t>les cellules ciliées ne peuvent pas se régénérer</w:t>
      </w:r>
      <w:r>
        <w:rPr>
          <w:rFonts w:cs="Arial"/>
          <w:bCs/>
        </w:rPr>
        <w:t xml:space="preserve"> (contrairement à d’autres cellules) : </w:t>
      </w:r>
      <w:r>
        <w:rPr>
          <w:rFonts w:cs="Arial"/>
          <w:b/>
          <w:bCs/>
        </w:rPr>
        <w:t>la perte d’audition est définitive.</w:t>
      </w:r>
    </w:p>
    <w:p>
      <w:pPr>
        <w:pStyle w:val="Normal"/>
        <w:spacing w:lineRule="auto" w:line="276"/>
        <w:jc w:val="both"/>
        <w:rPr>
          <w:rFonts w:eastAsia="Arial"/>
          <w:color w:val="0000FF"/>
        </w:rPr>
      </w:pPr>
      <w:bookmarkStart w:id="0" w:name="_Hlk102652411"/>
      <w:r>
        <w:rPr>
          <w:rFonts w:eastAsia="Arial"/>
          <w:b/>
          <w:bCs/>
          <w:color w:val="0000FF"/>
        </w:rPr>
        <w:t>Rq </w:t>
      </w:r>
      <w:r>
        <w:rPr>
          <w:rFonts w:eastAsia="Arial"/>
          <w:color w:val="0000FF"/>
        </w:rPr>
        <w:t xml:space="preserve">: Une sur-stimulation </w:t>
      </w:r>
      <w:bookmarkEnd w:id="0"/>
      <w:r>
        <w:rPr>
          <w:rFonts w:eastAsia="Arial"/>
          <w:color w:val="0000FF"/>
        </w:rPr>
        <w:t>sonore correspond à un niveau d’intensité sonore élevé (supérieur à 80 dB) pendant une durée trop importante (de plusieurs heures à 80 dB à quelques secondes à 120 dB).</w:t>
      </w:r>
    </w:p>
    <w:p>
      <w:pPr>
        <w:pStyle w:val="Normal"/>
        <w:spacing w:lineRule="auto" w:line="276"/>
        <w:jc w:val="both"/>
        <w:rPr/>
      </w:pPr>
      <w:r>
        <w:rPr>
          <w:b/>
        </w:rPr>
        <w:t>2-a-</w:t>
      </w:r>
      <w:r>
        <w:rPr>
          <w:rFonts w:eastAsia="Arial"/>
          <w:b/>
          <w:bCs/>
          <w:color w:val="000000"/>
        </w:rPr>
        <w:t>(1pt)</w:t>
      </w:r>
      <w:r>
        <w:rPr/>
        <w:t xml:space="preserve"> Pour les bouchons en mousse, l’atténuation varie entre 25 et 45 dB : elle est trop importante pour que le musicien entende suffisamment.</w:t>
      </w:r>
    </w:p>
    <w:p>
      <w:pPr>
        <w:pStyle w:val="Normal"/>
        <w:spacing w:lineRule="auto" w:line="276"/>
        <w:jc w:val="both"/>
        <w:rPr/>
      </w:pPr>
      <w:r>
        <w:rPr/>
        <w:t>Par contre, pour les bouchons moulés, l’atténuation reste inférieure à 25 dB et permet donc au musicien d’entendre suffisamment.</w:t>
      </w:r>
    </w:p>
    <w:p>
      <w:pPr>
        <w:pStyle w:val="Normal"/>
        <w:spacing w:lineRule="auto" w:line="276"/>
        <w:jc w:val="both"/>
        <w:rPr/>
      </w:pPr>
      <w:r>
        <w:rPr>
          <w:b/>
          <w:bCs/>
        </w:rPr>
        <w:t>2-b-</w:t>
      </w:r>
      <w:r>
        <w:rPr/>
        <w:t xml:space="preserve"> </w:t>
      </w:r>
      <w:r>
        <w:rPr>
          <w:b/>
          <w:bCs/>
        </w:rPr>
        <w:t xml:space="preserve">(1pt) </w:t>
      </w:r>
      <w:r>
        <w:rPr/>
        <w:t>Les bouchons en mousse atténuent davantage les sons de fréquences élevées donc les sons aigus.</w:t>
      </w:r>
    </w:p>
    <w:p>
      <w:pPr>
        <w:pStyle w:val="Normal"/>
        <w:jc w:val="both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>3-a-</w:t>
      </w:r>
      <w:r>
        <w:rPr>
          <w:rFonts w:eastAsia="Arial"/>
          <w:b/>
          <w:bCs/>
          <w:color w:val="000000"/>
        </w:rPr>
        <w:t>(1pt)</w:t>
      </w:r>
      <w:r>
        <w:rPr>
          <w:rFonts w:eastAsia="Arial"/>
          <w:color w:val="000000" w:themeColor="text1"/>
        </w:rPr>
        <w:t xml:space="preserve">Le son émis par la guitare est un </w:t>
      </w:r>
      <w:r>
        <w:rPr>
          <w:rFonts w:eastAsia="Arial"/>
          <w:b/>
          <w:color w:val="000000" w:themeColor="text1"/>
        </w:rPr>
        <w:t>son composé</w:t>
      </w:r>
      <w:r>
        <w:rPr>
          <w:rFonts w:eastAsia="Arial"/>
          <w:color w:val="000000" w:themeColor="text1"/>
        </w:rPr>
        <w:t xml:space="preserve"> car son spectre comporte plusieurs pics de fréquences (le fondamental et les harmoniques).</w:t>
      </w:r>
    </w:p>
    <w:p>
      <w:pPr>
        <w:pStyle w:val="Normal"/>
        <w:spacing w:lineRule="auto" w:line="276"/>
        <w:jc w:val="both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>3-b-(1pt)</w:t>
      </w:r>
      <w:r>
        <w:rPr>
          <w:rFonts w:eastAsia="Arial"/>
          <w:color w:val="000000" w:themeColor="text1"/>
        </w:rPr>
        <w:t xml:space="preserve"> La fréquence du mi</w:t>
      </w:r>
      <w:r>
        <w:rPr>
          <w:rFonts w:eastAsia="Arial"/>
          <w:color w:val="000000" w:themeColor="text1"/>
          <w:vertAlign w:val="subscript"/>
        </w:rPr>
        <w:t>4</w:t>
      </w:r>
      <w:r>
        <w:rPr>
          <w:rFonts w:eastAsia="Arial"/>
          <w:color w:val="000000" w:themeColor="text1"/>
        </w:rPr>
        <w:t xml:space="preserve"> joué par la guitare correspond à la fréquence du fondamental (plus faible fréquence dans le spectre du mi4)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 xml:space="preserve">Par rapport d’échelle : </w:t>
      </w:r>
    </w:p>
    <w:tbl>
      <w:tblPr>
        <w:tblStyle w:val="Grilledutableau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623"/>
        <w:gridCol w:w="5773"/>
      </w:tblGrid>
      <w:tr>
        <w:trPr>
          <w:trHeight w:val="630" w:hRule="atLeast"/>
        </w:trPr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37.5pt;height:15.75pt;mso-wrap-distance-right:0pt;mso-wrap-distance-bottom:6pt" filled="f" o:ole="">
                  <v:imagedata r:id="rId3" o:title=""/>
                </v:shape>
                <o:OLEObject Type="Embed" ProgID="Equation.DSMT4" ShapeID="ole_rId2" DrawAspect="Content" ObjectID="_1824876980" r:id="rId2"/>
              </w:object>
            </w: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 xml:space="preserve"> 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1,9 cm</w:t>
            </w:r>
          </w:p>
        </w:tc>
        <w:tc>
          <w:tcPr>
            <w:tcW w:w="577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144pt;height:33pt;mso-wrap-distance-right:0pt" filled="f" o:ole="">
                  <v:imagedata r:id="rId5" o:title=""/>
                </v:shape>
                <o:OLEObject Type="Embed" ProgID="Equation.DSMT4" ShapeID="ole_rId4" DrawAspect="Content" ObjectID="_583851910" r:id="rId4"/>
              </w:object>
            </w: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soit environ 660 Hz vu la précision de la lecture graphique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</w:r>
          </w:p>
        </w:tc>
      </w:tr>
      <w:tr>
        <w:trPr>
          <w:trHeight w:val="598" w:hRule="atLeast"/>
        </w:trPr>
        <w:tc>
          <w:tcPr>
            <w:tcW w:w="1604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4 kHz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11,4 cm</w:t>
            </w:r>
          </w:p>
        </w:tc>
        <w:tc>
          <w:tcPr>
            <w:tcW w:w="577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16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76"/>
        <w:jc w:val="both"/>
        <w:rPr>
          <w:rFonts w:cs="Arial"/>
          <w:color w:val="000000"/>
          <w:sz w:val="10"/>
          <w:szCs w:val="10"/>
          <w:highlight w:val="white"/>
        </w:rPr>
      </w:pPr>
      <w:r>
        <w:rPr>
          <w:rFonts w:cs="Arial"/>
          <w:color w:val="000000"/>
          <w:sz w:val="10"/>
          <w:szCs w:val="10"/>
          <w:highlight w:val="white"/>
        </w:rPr>
      </w:r>
    </w:p>
    <w:p>
      <w:pPr>
        <w:pStyle w:val="Normal"/>
        <w:spacing w:lineRule="auto" w:line="276"/>
        <w:jc w:val="both"/>
        <w:rPr>
          <w:rFonts w:eastAsia="Arial"/>
          <w:b/>
          <w:b/>
          <w:color w:val="000000" w:themeColor="text1"/>
        </w:rPr>
      </w:pPr>
      <w:r>
        <w:rPr>
          <w:rFonts w:eastAsia="Arial"/>
          <w:b/>
          <w:bCs/>
          <w:color w:val="0000FF"/>
        </w:rPr>
        <w:t>Rq </w:t>
      </w:r>
      <w:r>
        <w:rPr>
          <w:rFonts w:eastAsia="Arial"/>
          <w:color w:val="0000FF"/>
        </w:rPr>
        <w:t>: Pour plus de précision, il était possible de déterminer la fréquence f</w:t>
      </w:r>
      <w:r>
        <w:rPr>
          <w:rFonts w:eastAsia="Arial"/>
          <w:color w:val="0000FF"/>
          <w:vertAlign w:val="subscript"/>
        </w:rPr>
        <w:t>5</w:t>
      </w:r>
      <w:r>
        <w:rPr>
          <w:rFonts w:eastAsia="Arial"/>
          <w:color w:val="0000FF"/>
        </w:rPr>
        <w:t xml:space="preserve"> de l’harmonique de rang 5 puis d’en déduire la fréquence f</w:t>
      </w:r>
      <w:r>
        <w:rPr>
          <w:rFonts w:eastAsia="Arial"/>
          <w:color w:val="0000FF"/>
          <w:vertAlign w:val="subscript"/>
        </w:rPr>
        <w:t xml:space="preserve">1 </w:t>
      </w:r>
      <w:r>
        <w:rPr>
          <w:rFonts w:eastAsia="Arial"/>
          <w:color w:val="0000FF"/>
        </w:rPr>
        <w:t>du fondamental car f</w:t>
      </w:r>
      <w:r>
        <w:rPr>
          <w:rFonts w:eastAsia="Arial"/>
          <w:color w:val="0000FF"/>
          <w:vertAlign w:val="subscript"/>
        </w:rPr>
        <w:t xml:space="preserve">5 </w:t>
      </w:r>
      <w:r>
        <w:rPr>
          <w:rFonts w:eastAsia="Arial"/>
          <w:color w:val="0000FF"/>
        </w:rPr>
        <w:t>= 5 x f</w:t>
      </w:r>
      <w:r>
        <w:rPr>
          <w:rFonts w:eastAsia="Arial"/>
          <w:color w:val="0000FF"/>
          <w:vertAlign w:val="subscript"/>
        </w:rPr>
        <w:t>1</w:t>
      </w:r>
      <w:r>
        <w:rPr>
          <w:rFonts w:eastAsia="Arial"/>
          <w:color w:val="0000FF"/>
        </w:rPr>
        <w:t>.</w:t>
      </w:r>
    </w:p>
    <w:p>
      <w:pPr>
        <w:sectPr>
          <w:headerReference w:type="even" r:id="rId6"/>
          <w:headerReference w:type="default" r:id="rId7"/>
          <w:type w:val="oddPage"/>
          <w:pgSz w:w="11906" w:h="16838"/>
          <w:pgMar w:left="1418" w:right="1418" w:gutter="0" w:header="567" w:top="850" w:footer="0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both"/>
        <w:rPr>
          <w:rFonts w:cs="Arial"/>
          <w:color w:val="000000"/>
          <w:sz w:val="10"/>
          <w:szCs w:val="10"/>
          <w:highlight w:val="white"/>
        </w:rPr>
      </w:pPr>
      <w:r>
        <w:rPr>
          <w:rFonts w:cs="Arial"/>
          <w:color w:val="000000"/>
          <w:sz w:val="10"/>
          <w:szCs w:val="10"/>
          <w:highlight w:val="white"/>
        </w:rPr>
      </w:r>
    </w:p>
    <w:p>
      <w:pPr>
        <w:pStyle w:val="Normal"/>
        <w:spacing w:lineRule="auto" w:line="276"/>
        <w:rPr>
          <w:color w:val="000000"/>
        </w:rPr>
      </w:pPr>
      <w:r>
        <w:rPr/>
        <mc:AlternateContent>
          <mc:Choice Requires="wps">
            <w:drawing>
              <wp:anchor behindDoc="0" distT="76200" distB="114300" distL="38100" distR="20955" simplePos="0" locked="0" layoutInCell="0" allowOverlap="1" relativeHeight="3" wp14:anchorId="2C244F31">
                <wp:simplePos x="0" y="0"/>
                <wp:positionH relativeFrom="column">
                  <wp:posOffset>487680</wp:posOffset>
                </wp:positionH>
                <wp:positionV relativeFrom="paragraph">
                  <wp:posOffset>1647825</wp:posOffset>
                </wp:positionV>
                <wp:extent cx="683895" cy="635"/>
                <wp:effectExtent l="635" t="45085" r="0" b="44450"/>
                <wp:wrapNone/>
                <wp:docPr id="1" name="Connecteur droit avec flèche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73" stroked="t" o:allowincell="f" style="position:absolute;margin-left:38.4pt;margin-top:129.75pt;width:53.8pt;height:0pt;mso-wrap-style:none;v-text-anchor:middle" wp14:anchorId="2C244F31" type="_x0000_t32">
                <v:fill o:detectmouseclick="t" on="false"/>
                <v:stroke color="red" weight="12600" startarrow="open" endarrow="open" startarrowwidth="medium" startarrowlength="medium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114300" distL="38100" distR="11430" simplePos="0" locked="0" layoutInCell="0" allowOverlap="1" relativeHeight="4" wp14:anchorId="49AD1177">
                <wp:simplePos x="0" y="0"/>
                <wp:positionH relativeFrom="column">
                  <wp:posOffset>492125</wp:posOffset>
                </wp:positionH>
                <wp:positionV relativeFrom="paragraph">
                  <wp:posOffset>1955165</wp:posOffset>
                </wp:positionV>
                <wp:extent cx="4104005" cy="635"/>
                <wp:effectExtent l="635" t="45085" r="0" b="44450"/>
                <wp:wrapNone/>
                <wp:docPr id="2" name="Connecteur droit avec flèch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1" stroked="t" o:allowincell="f" style="position:absolute;margin-left:38.75pt;margin-top:153.95pt;width:323.1pt;height:0pt;mso-wrap-style:none;v-text-anchor:middle" wp14:anchorId="49AD1177" type="_x0000_t32">
                <v:fill o:detectmouseclick="t" on="false"/>
                <v:stroke color="red" weight="12600" startarrow="open" endarrow="open" startarrowwidth="medium" startarrowlength="medium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340" distL="38100" distR="20320" simplePos="0" locked="0" layoutInCell="0" allowOverlap="1" relativeHeight="5" wp14:anchorId="2A403D5D">
                <wp:simplePos x="0" y="0"/>
                <wp:positionH relativeFrom="column">
                  <wp:posOffset>1189990</wp:posOffset>
                </wp:positionH>
                <wp:positionV relativeFrom="paragraph">
                  <wp:posOffset>281305</wp:posOffset>
                </wp:positionV>
                <wp:extent cx="342265" cy="365760"/>
                <wp:effectExtent l="635" t="6350" r="6350" b="635"/>
                <wp:wrapNone/>
                <wp:docPr id="3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360" cy="3657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" stroked="t" o:allowincell="f" style="position:absolute;margin-left:93.7pt;margin-top:22.15pt;width:26.9pt;height:28.75pt;flip:x;mso-wrap-style:none;v-text-anchor:middle" wp14:anchorId="2A403D5D" type="_x0000_t32">
                <v:fill o:detectmouseclick="t" on="false"/>
                <v:stroke color="blue" weight="126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9690" distL="38100" distR="33655" simplePos="0" locked="0" layoutInCell="0" allowOverlap="1" relativeHeight="6" wp14:anchorId="3361E3D7">
                <wp:simplePos x="0" y="0"/>
                <wp:positionH relativeFrom="column">
                  <wp:posOffset>3872230</wp:posOffset>
                </wp:positionH>
                <wp:positionV relativeFrom="paragraph">
                  <wp:posOffset>1275080</wp:posOffset>
                </wp:positionV>
                <wp:extent cx="518795" cy="588010"/>
                <wp:effectExtent l="635" t="6350" r="6350" b="635"/>
                <wp:wrapNone/>
                <wp:docPr id="4" name="Connecteur droit avec flèch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8760" cy="587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3" stroked="t" o:allowincell="f" style="position:absolute;margin-left:304.9pt;margin-top:100.4pt;width:40.8pt;height:46.25pt;flip:x;mso-wrap-style:none;v-text-anchor:middle" wp14:anchorId="3361E3D7" type="_x0000_t32">
                <v:fill o:detectmouseclick="t" on="false"/>
                <v:stroke color="blue" weight="12600" endarrow="block" endarrowwidth="medium" endarrowlength="medium" joinstyle="round" endcap="flat"/>
                <w10:wrap type="none"/>
              </v:shape>
            </w:pict>
          </mc:Fallback>
        </mc:AlternateContent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309.95pt;margin-top:82.6pt;width:142.15pt;height:18.15pt;mso-wrap-distance-right:0pt;mso-position-horizontal-relative:text;mso-position-vertical-relative:text" filled="f" o:ole="">
            <v:imagedata r:id="rId9" o:title=""/>
          </v:shape>
          <o:OLEObject Type="Embed" ProgID="Equation.DSMT4" ShapeID="ole_rId8" DrawAspect="Content" ObjectID="_252220008" r:id="rId8"/>
        </w:object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204.9pt;margin-top:135.75pt;width:42.2pt;height:14.05pt;mso-wrap-distance-right:0pt;mso-position-horizontal-relative:text;mso-position-vertical-relative:text" filled="f" o:ole="">
            <v:imagedata r:id="rId11" o:title=""/>
          </v:shape>
          <o:OLEObject Type="Embed" ProgID="Equation.DSMT4" ShapeID="ole_rId10" DrawAspect="Content" ObjectID="_1886297361" r:id="rId10"/>
        </w:object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121.95pt;margin-top:13pt;width:89.1pt;height:18.15pt;mso-wrap-distance-right:0pt;mso-position-horizontal-relative:text;mso-position-vertical-relative:text" filled="f" o:ole="">
            <v:imagedata r:id="rId13" o:title=""/>
          </v:shape>
          <o:OLEObject Type="Embed" ProgID="Equation.DSMT4" ShapeID="ole_rId12" DrawAspect="Content" ObjectID="_512317432" r:id="rId12"/>
        </w:object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46.1pt;margin-top:108.35pt;width:37.05pt;height:16.15pt;mso-wrap-distance-right:0pt;mso-position-horizontal-relative:text;mso-position-vertical-relative:text" filled="f" o:ole="">
            <v:imagedata r:id="rId15" o:title=""/>
          </v:shape>
          <o:OLEObject Type="Embed" ProgID="Equation.DSMT4" ShapeID="ole_rId14" DrawAspect="Content" ObjectID="_69641080" r:id="rId14"/>
        </w:object>
        <mc:AlternateContent>
          <mc:Choice Requires="wpg">
            <w:drawing>
              <wp:inline distT="0" distB="0" distL="0" distR="0" wp14:anchorId="07843986">
                <wp:extent cx="5579745" cy="2306955"/>
                <wp:effectExtent l="0" t="0" r="1905" b="0"/>
                <wp:docPr id="5" name="Form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640" cy="2306880"/>
                          <a:chOff x="0" y="0"/>
                          <a:chExt cx="5579640" cy="2306880"/>
                        </a:xfrm>
                      </wpg:grpSpPr>
                      <pic:pic xmlns:pic="http://schemas.openxmlformats.org/drawingml/2006/picture">
                        <pic:nvPicPr>
                          <pic:cNvPr id="0" name="Picture 47" descr="C:\Users\Edith\Downloads\Géogébra en ligne (12).png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5579640" cy="2306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80440" y="208800"/>
                            <a:ext cx="720" cy="19000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1320" y="581040"/>
                            <a:ext cx="720" cy="15278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1480" y="1349280"/>
                            <a:ext cx="720" cy="7596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9640" y="1193040"/>
                            <a:ext cx="720" cy="9158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59560" y="1736640"/>
                            <a:ext cx="720" cy="3722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e5" style="position:absolute;margin-left:0pt;margin-top:-181.7pt;width:439.35pt;height:181.65pt" coordorigin="0,-3634" coordsize="8787,3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7" stroked="f" o:allowincell="f" style="position:absolute;left:0;top:-3634;width:8786;height:3632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  <v:shape id="shape_0" ID="Connecteur droit avec flèche 41" stroked="t" o:allowincell="f" style="position:absolute;left:1859;top:-3305;width:0;height:2991;mso-wrap-style:none;v-text-anchor:middle;mso-position-vertical:top" type="_x0000_t32">
                  <v:fill o:detectmouseclick="t" on="false"/>
                  <v:stroke color="black" weight="19080" joinstyle="round" endcap="flat"/>
                  <w10:wrap type="square"/>
                </v:shape>
                <v:shape id="shape_0" ID="Connecteur droit avec flèche 42" stroked="t" o:allowincell="f" style="position:absolute;left:2884;top:-2719;width:0;height:2405;mso-wrap-style:none;v-text-anchor:middle;mso-position-vertical:top" type="_x0000_t32">
                  <v:fill o:detectmouseclick="t" on="false"/>
                  <v:stroke color="black" weight="19080" joinstyle="round" endcap="flat"/>
                  <w10:wrap type="square"/>
                </v:shape>
                <v:shape id="shape_0" ID="Connecteur droit avec flèche 43" stroked="t" o:allowincell="f" style="position:absolute;left:3908;top:-1509;width:0;height:1195;mso-wrap-style:none;v-text-anchor:middle;mso-position-vertical:top" type="_x0000_t32">
                  <v:fill o:detectmouseclick="t" on="false"/>
                  <v:stroke color="black" weight="19080" joinstyle="round" endcap="flat"/>
                  <w10:wrap type="square"/>
                </v:shape>
                <v:shape id="shape_0" ID="Connecteur droit avec flèche 44" stroked="t" o:allowincell="f" style="position:absolute;left:4960;top:-1755;width:0;height:1441;mso-wrap-style:none;v-text-anchor:middle;mso-position-vertical:top" type="_x0000_t32">
                  <v:fill o:detectmouseclick="t" on="false"/>
                  <v:stroke color="black" weight="19080" joinstyle="round" endcap="flat"/>
                  <w10:wrap type="square"/>
                </v:shape>
                <v:shape id="shape_0" ID="Connecteur droit avec flèche 45" stroked="t" o:allowincell="f" style="position:absolute;left:6078;top:-899;width:0;height:585;mso-wrap-style:none;v-text-anchor:middle;mso-position-vertical:top" type="_x0000_t32">
                  <v:fill o:detectmouseclick="t" on="false"/>
                  <v:stroke color="black" weight="19080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76"/>
        <w:jc w:val="both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>3-c-(2pts)</w:t>
      </w:r>
      <w:r>
        <w:rPr>
          <w:rFonts w:eastAsia="Arial"/>
          <w:color w:val="000000" w:themeColor="text1"/>
        </w:rPr>
        <w:t xml:space="preserve"> Le document 4 nous montre que les 2 bouchons ne modifient pas la fréquence fondamentale du son donc </w:t>
      </w:r>
      <w:r>
        <w:rPr>
          <w:rFonts w:eastAsia="Arial"/>
          <w:b/>
          <w:color w:val="000000" w:themeColor="text1"/>
        </w:rPr>
        <w:t>la hauteur du son n’est pas modifiée</w:t>
      </w:r>
      <w:r>
        <w:rPr>
          <w:rFonts w:eastAsia="Arial"/>
          <w:color w:val="000000" w:themeColor="text1"/>
        </w:rPr>
        <w:t xml:space="preserve"> par le port de ces bouchons.</w:t>
      </w:r>
    </w:p>
    <w:p>
      <w:pPr>
        <w:pStyle w:val="Normal"/>
        <w:spacing w:lineRule="auto" w:line="276"/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Par contre, le bouchon en mousse atténue davantage les sons aigus et certaines harmoniques sont fortement atténuées, voire disparaissent : </w:t>
      </w:r>
      <w:r>
        <w:rPr>
          <w:rFonts w:eastAsia="Arial"/>
          <w:b/>
          <w:color w:val="000000" w:themeColor="text1"/>
        </w:rPr>
        <w:t>le bouchon en mousse modifie le timbre du son</w:t>
      </w:r>
      <w:r>
        <w:rPr>
          <w:rFonts w:eastAsia="Arial"/>
          <w:color w:val="000000" w:themeColor="text1"/>
        </w:rPr>
        <w:t xml:space="preserve"> (le son apparait plus « sourd »). </w:t>
      </w:r>
    </w:p>
    <w:p>
      <w:pPr>
        <w:pStyle w:val="Normal"/>
        <w:spacing w:lineRule="auto" w:line="276"/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Le bouchon moulé atténue toutes les fréquences dans des proportions similaires : les spectres des sons avant et après passage du bouchon sont similaires : </w:t>
      </w:r>
      <w:r>
        <w:rPr>
          <w:rFonts w:eastAsia="Arial"/>
          <w:b/>
          <w:color w:val="000000" w:themeColor="text1"/>
        </w:rPr>
        <w:t>le bouchon moulé ne modifie pas le timbre du son</w:t>
      </w:r>
      <w:r>
        <w:rPr>
          <w:rFonts w:eastAsia="Arial"/>
          <w:color w:val="000000" w:themeColor="text1"/>
        </w:rPr>
        <w:t xml:space="preserve"> (le son est juste atténué). </w:t>
      </w:r>
    </w:p>
    <w:p>
      <w:pPr>
        <w:pStyle w:val="Normal"/>
        <w:spacing w:lineRule="auto" w:line="276"/>
        <w:jc w:val="both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>3-d-(2pts)</w:t>
      </w:r>
      <w:r>
        <w:rPr>
          <w:rFonts w:eastAsia="Arial"/>
          <w:color w:val="000000" w:themeColor="text1"/>
        </w:rPr>
        <w:t xml:space="preserve"> Ce sont les bouchons moulés qui conservent le mieux la qualité du son car :</w:t>
      </w:r>
    </w:p>
    <w:p>
      <w:pPr>
        <w:pStyle w:val="Normal"/>
        <w:spacing w:lineRule="auto" w:line="276"/>
        <w:jc w:val="both"/>
        <w:rPr/>
      </w:pPr>
      <w:r>
        <w:rPr>
          <w:color w:val="000000" w:themeColor="text1"/>
        </w:rPr>
        <w:t xml:space="preserve">- </w:t>
      </w:r>
      <w:r>
        <w:rPr>
          <w:b/>
        </w:rPr>
        <w:t>L’atténuation reste inférieure à 25 dB</w:t>
      </w:r>
      <w:r>
        <w:rPr/>
        <w:t xml:space="preserve"> et permet donc au musicien d’entendre suffisamment (voir question 2-a-).</w:t>
      </w:r>
    </w:p>
    <w:p>
      <w:pPr>
        <w:pStyle w:val="Normal"/>
        <w:spacing w:lineRule="auto" w:line="276"/>
        <w:rPr/>
      </w:pPr>
      <w:r>
        <w:rPr/>
        <w:t xml:space="preserve">- La  hauteur des sons mais surtout </w:t>
      </w:r>
      <w:r>
        <w:rPr>
          <w:b/>
        </w:rPr>
        <w:t>leur timbre est préservé</w:t>
      </w:r>
      <w:r>
        <w:rPr/>
        <w:t>.</w:t>
      </w:r>
    </w:p>
    <w:p>
      <w:pPr>
        <w:pStyle w:val="Normal"/>
        <w:spacing w:lineRule="auto" w:line="276"/>
        <w:rPr>
          <w:color w:val="000000" w:themeColor="text1"/>
        </w:rPr>
      </w:pPr>
      <w:r>
        <w:rPr>
          <w:b/>
          <w:color w:val="000000" w:themeColor="text1"/>
        </w:rPr>
        <w:t>4-a-</w:t>
      </w:r>
      <w:r>
        <w:rPr>
          <w:color w:val="000000" w:themeColor="text1"/>
        </w:rPr>
        <w:t xml:space="preserve"> Calculer le niveau d’intensité sonore L perçu par le guitariste.</w:t>
      </w:r>
    </w:p>
    <w:p>
      <w:pPr>
        <w:pStyle w:val="Normal"/>
        <w:spacing w:lineRule="auto" w:line="276"/>
        <w:rPr>
          <w:color w:val="000000"/>
        </w:rPr>
      </w:pP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43.75pt;height:38.25pt;mso-wrap-distance-right:0pt" filled="f" o:ole="">
            <v:imagedata r:id="rId18" o:title=""/>
          </v:shape>
          <o:OLEObject Type="Embed" ProgID="Equation.DSMT4" ShapeID="ole_rId17" DrawAspect="Content" ObjectID="_1894099561" r:id="rId17"/>
        </w:object>
      </w:r>
      <w:r>
        <w:rPr>
          <w:color w:val="000000"/>
        </w:rPr>
        <w:t xml:space="preserve"> </w:t>
      </w:r>
    </w:p>
    <w:p>
      <w:pPr>
        <w:pStyle w:val="Normal"/>
        <w:spacing w:lineRule="auto" w:line="276" w:before="0" w:after="160"/>
        <w:rPr>
          <w:color w:val="000000"/>
        </w:rPr>
      </w:pPr>
      <w:r>
        <w:rPr>
          <w:b/>
          <w:color w:val="000000" w:themeColor="text1"/>
        </w:rPr>
        <w:t>4-b-</w:t>
      </w:r>
      <w:r>
        <w:rPr>
          <w:color w:val="000000" w:themeColor="text1"/>
        </w:rPr>
        <w:t xml:space="preserve"> Le niveau d’intensité sonore perçu par le guitariste pendant la répétition est </w:t>
      </w:r>
      <w:r>
        <w:rPr>
          <w:b/>
          <w:color w:val="000000" w:themeColor="text1"/>
        </w:rPr>
        <w:t>inférieur à 85 dB</w:t>
      </w:r>
      <w:r>
        <w:rPr>
          <w:color w:val="000000" w:themeColor="text1"/>
        </w:rPr>
        <w:t> : il n’a pas besoin de porter des bouchons.</w:t>
      </w:r>
    </w:p>
    <w:sectPr>
      <w:headerReference w:type="even" r:id="rId19"/>
      <w:headerReference w:type="default" r:id="rId20"/>
      <w:type w:val="nextPage"/>
      <w:pgSz w:w="11906" w:h="16838"/>
      <w:pgMar w:left="1418" w:right="1418" w:gutter="0" w:header="567" w:top="624" w:footer="0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etePiedsDePage"/>
      <w:spacing w:before="40" w:after="40"/>
      <w:jc w:val="center"/>
      <w:rPr/>
    </w:pPr>
    <w:r>
      <w:rPr/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etePiedsDePage"/>
      <w:spacing w:before="40" w:after="40"/>
      <w:jc w:val="center"/>
      <w:rPr/>
    </w:pPr>
    <w:r>
      <w:rPr/>
    </w:r>
  </w:p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f19"/>
    <w:pPr>
      <w:widowControl/>
      <w:bidi w:val="0"/>
      <w:spacing w:lineRule="auto" w:line="259" w:before="0" w:after="16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a763ff"/>
    <w:rPr>
      <w:color w:val="0000FF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0f47"/>
    <w:rPr/>
  </w:style>
  <w:style w:type="character" w:styleId="Eop" w:customStyle="1">
    <w:name w:val="eop"/>
    <w:basedOn w:val="DefaultParagraphFont"/>
    <w:qFormat/>
    <w:rsid w:val="00a90f47"/>
    <w:rPr/>
  </w:style>
  <w:style w:type="character" w:styleId="LienInternetvisit">
    <w:name w:val="Lien Internet visité"/>
    <w:basedOn w:val="DefaultParagraphFont"/>
    <w:uiPriority w:val="99"/>
    <w:semiHidden/>
    <w:unhideWhenUsed/>
    <w:rsid w:val="00fb0b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1d4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1e53cc"/>
    <w:pPr>
      <w:widowControl/>
      <w:pBdr/>
      <w:bidi w:val="0"/>
      <w:spacing w:lineRule="auto" w:line="276" w:before="0" w:after="0"/>
      <w:jc w:val="left"/>
    </w:pPr>
    <w:rPr>
      <w:rFonts w:eastAsia="Arial" w:cs="Arial" w:ascii="Arial" w:hAnsi="Arial"/>
      <w:color w:val="auto"/>
      <w:kern w:val="0"/>
      <w:sz w:val="22"/>
      <w:szCs w:val="22"/>
      <w:lang w:val="fr-FR" w:eastAsia="fr-FR" w:bidi="ar-SA"/>
    </w:rPr>
  </w:style>
  <w:style w:type="paragraph" w:styleId="NormalWeb">
    <w:name w:val="Normal (Web)"/>
    <w:basedOn w:val="Normal"/>
    <w:uiPriority w:val="99"/>
    <w:unhideWhenUsed/>
    <w:qFormat/>
    <w:rsid w:val="00a90f47"/>
    <w:pPr>
      <w:spacing w:lineRule="auto" w:line="240" w:beforeAutospacing="1" w:afterAutospacing="1"/>
    </w:pPr>
    <w:rPr>
      <w:rFonts w:ascii="Times New Roman" w:hAnsi="Times New Roman"/>
    </w:rPr>
  </w:style>
  <w:style w:type="paragraph" w:styleId="Paragraph" w:customStyle="1">
    <w:name w:val="paragraph"/>
    <w:basedOn w:val="Normal"/>
    <w:qFormat/>
    <w:rsid w:val="00a90f47"/>
    <w:pPr>
      <w:spacing w:lineRule="auto" w:line="240" w:beforeAutospacing="1" w:afterAutospacing="1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uiPriority w:val="34"/>
    <w:qFormat/>
    <w:rsid w:val="00631e8e"/>
    <w:pPr>
      <w:spacing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Enttegauche">
    <w:name w:val="En-tête gauche"/>
    <w:basedOn w:val="Entt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oleObject" Target="embeddings/oleObject3.bin"/><Relationship Id="rId9" Type="http://schemas.openxmlformats.org/officeDocument/2006/relationships/image" Target="media/image3.wmf"/><Relationship Id="rId10" Type="http://schemas.openxmlformats.org/officeDocument/2006/relationships/oleObject" Target="embeddings/oleObject4.bin"/><Relationship Id="rId11" Type="http://schemas.openxmlformats.org/officeDocument/2006/relationships/image" Target="media/image4.wmf"/><Relationship Id="rId12" Type="http://schemas.openxmlformats.org/officeDocument/2006/relationships/oleObject" Target="embeddings/oleObject5.bin"/><Relationship Id="rId13" Type="http://schemas.openxmlformats.org/officeDocument/2006/relationships/image" Target="media/image5.wmf"/><Relationship Id="rId14" Type="http://schemas.openxmlformats.org/officeDocument/2006/relationships/oleObject" Target="embeddings/oleObject6.bin"/><Relationship Id="rId15" Type="http://schemas.openxmlformats.org/officeDocument/2006/relationships/image" Target="media/image6.wmf"/><Relationship Id="rId16" Type="http://schemas.openxmlformats.org/officeDocument/2006/relationships/image" Target="media/image7.png"/><Relationship Id="rId17" Type="http://schemas.openxmlformats.org/officeDocument/2006/relationships/oleObject" Target="embeddings/oleObject7.bin"/><Relationship Id="rId18" Type="http://schemas.openxmlformats.org/officeDocument/2006/relationships/image" Target="media/image8.wmf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C415616A63B489F811FEBA23B2106" ma:contentTypeVersion="8" ma:contentTypeDescription="Crée un document." ma:contentTypeScope="" ma:versionID="a37bba2bb4fcc557f3e1981d73f89f70">
  <xsd:schema xmlns:xsd="http://www.w3.org/2001/XMLSchema" xmlns:xs="http://www.w3.org/2001/XMLSchema" xmlns:p="http://schemas.microsoft.com/office/2006/metadata/properties" xmlns:ns2="29085bd2-8046-4e2c-88d4-34a20d7200ff" xmlns:ns3="6d965604-aafa-48a8-992f-4060985e3362" targetNamespace="http://schemas.microsoft.com/office/2006/metadata/properties" ma:root="true" ma:fieldsID="16fe8de850a919537d7d9c13a884d5e1" ns2:_="" ns3:_="">
    <xsd:import namespace="29085bd2-8046-4e2c-88d4-34a20d7200ff"/>
    <xsd:import namespace="6d965604-aafa-48a8-992f-4060985e3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5bd2-8046-4e2c-88d4-34a20d720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5604-aafa-48a8-992f-4060985e33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7899C-6934-44D5-8EC6-9CF87115D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85bd2-8046-4e2c-88d4-34a20d7200ff"/>
    <ds:schemaRef ds:uri="6d965604-aafa-48a8-992f-4060985e3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A624B-9CC0-4122-83AF-87CB78FBF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5478-3F2B-4892-9917-7C099E4D85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487</Words>
  <Characters>2479</Characters>
  <CharactersWithSpaces>2949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2022-10-03T09:01:00Z</dcterms:created>
  <dc:creator/>
  <dc:description/>
  <dc:language>fr-FR</dc:language>
  <cp:lastModifiedBy/>
  <dcterms:modified xsi:type="dcterms:W3CDTF">2023-03-24T10:34:52Z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0x010100ECCC415616A63B489F811FEBA23B2106</vt:lpwstr>
  </property>
  <property fmtid="{D5CDD505-2E9C-101B-9397-08002B2CF9AE}" pid="3" name="MTWinEqns">
    <vt:bool>1</vt:bool>
  </property>
</Properties>
</file>