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hanging="0"/>
        <w:jc w:val="center"/>
        <w:rPr>
          <w:rFonts w:eastAsia="Times New Roman"/>
          <w:b/>
          <w:b/>
          <w:bCs/>
          <w:kern w:val="2"/>
          <w:sz w:val="32"/>
          <w:szCs w:val="32"/>
        </w:rPr>
      </w:pPr>
      <w:r>
        <w:rPr>
          <w:rFonts w:eastAsia="Times New Roman"/>
          <w:b/>
          <w:bCs/>
          <w:kern w:val="2"/>
          <w:sz w:val="32"/>
          <w:szCs w:val="32"/>
        </w:rPr>
        <w:t xml:space="preserve">Autotest de dépistage du VIH </w:t>
      </w:r>
    </w:p>
    <w:p>
      <w:pPr>
        <w:pStyle w:val="Normal"/>
        <w:ind w:left="0" w:hanging="0"/>
        <w:jc w:val="both"/>
        <w:rPr/>
      </w:pPr>
      <w:r>
        <w:rPr/>
        <w:t>Un groupe de lycéens discute de l’intérêt d’acheter et de pratiquer un autotest de dépistage du VIH vendu sans ordonnance en pharmacie. Ils décident de consulter la notice disponible sur Internet.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  <w:u w:val="single"/>
        </w:rPr>
        <w:t>Document 1</w:t>
      </w:r>
      <w:r>
        <w:rPr>
          <w:b/>
          <w:bCs/>
        </w:rPr>
        <w:t xml:space="preserve"> : extrait de la notice d’un autotest de détermination du VIH </w:t>
      </w:r>
    </w:p>
    <w:p>
      <w:pPr>
        <w:pStyle w:val="Normal"/>
        <w:ind w:left="0" w:hanging="0"/>
        <w:rPr/>
      </w:pPr>
      <w:r>
        <w:rPr/>
        <w:t>Performances diagnostiques du test :</w:t>
      </w:r>
    </w:p>
    <w:tbl>
      <w:tblPr>
        <w:tblStyle w:val="Grilledutableau"/>
        <w:tblW w:w="8498" w:type="dxa"/>
        <w:jc w:val="left"/>
        <w:tblInd w:w="56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72"/>
        <w:gridCol w:w="1525"/>
      </w:tblGrid>
      <w:tr>
        <w:trPr/>
        <w:tc>
          <w:tcPr>
            <w:tcW w:w="6972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fr-FR" w:eastAsia="fr-FR" w:bidi="ar-SA"/>
              </w:rPr>
              <w:t>Sensibilité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 = probabilité d’un résultat positif du test chez un patient malade (infecté par le VIH)</w:t>
            </w:r>
          </w:p>
        </w:tc>
        <w:tc>
          <w:tcPr>
            <w:tcW w:w="1525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96,70 %</w:t>
            </w:r>
          </w:p>
        </w:tc>
      </w:tr>
      <w:tr>
        <w:trPr/>
        <w:tc>
          <w:tcPr>
            <w:tcW w:w="6972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left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fr-FR" w:eastAsia="fr-FR" w:bidi="ar-SA"/>
              </w:rPr>
              <w:t>Spécificité</w:t>
            </w:r>
            <w:r>
              <w:rPr>
                <w:rFonts w:eastAsia="Calibri" w:cs="Times New Roman"/>
                <w:kern w:val="0"/>
                <w:lang w:val="fr-FR" w:eastAsia="fr-FR" w:bidi="ar-SA"/>
              </w:rPr>
              <w:t xml:space="preserve"> = probabilité d’un résultat négatif du test chez un patient non-malade (non infecté par le VIH)</w:t>
            </w:r>
          </w:p>
        </w:tc>
        <w:tc>
          <w:tcPr>
            <w:tcW w:w="1525" w:type="dxa"/>
            <w:tcBorders/>
            <w:vAlign w:val="center"/>
          </w:tcPr>
          <w:p>
            <w:pPr>
              <w:pStyle w:val="Normal"/>
              <w:widowControl/>
              <w:spacing w:before="0" w:after="160"/>
              <w:ind w:left="0" w:hanging="0"/>
              <w:jc w:val="center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99,42 %</w:t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both"/>
        <w:rPr/>
      </w:pPr>
      <w:r>
        <w:rPr>
          <w:b/>
          <w:bCs/>
        </w:rPr>
        <w:t>Prévalence</w:t>
      </w:r>
      <w:r>
        <w:rPr/>
        <w:t xml:space="preserve"> (probabilité qu’une personne soit malade dans la population) du VIH en France : 0,30 % 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  <w:u w:val="single"/>
        </w:rPr>
        <w:t>Document 2</w:t>
      </w:r>
      <w:r>
        <w:rPr>
          <w:b/>
          <w:bCs/>
        </w:rPr>
        <w:t> : Tableau de contingence pour un groupe de 10 000 personnes de la population française testées avec l’autotest de détermination du VIH du document 1.</w:t>
      </w:r>
    </w:p>
    <w:p>
      <w:pPr>
        <w:pStyle w:val="Normal"/>
        <w:ind w:left="0" w:hanging="0"/>
        <w:rPr>
          <w:b/>
          <w:b/>
          <w:bCs/>
        </w:rPr>
      </w:pPr>
      <w:r>
        <w:rPr>
          <w:b/>
          <w:bCs/>
        </w:rPr>
      </w:r>
    </w:p>
    <w:tbl>
      <w:tblPr>
        <w:tblStyle w:val="Grilledutableau"/>
        <w:tblW w:w="72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408"/>
      </w:tblGrid>
      <w:tr>
        <w:trPr/>
        <w:tc>
          <w:tcPr>
            <w:tcW w:w="2407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before="0" w:after="160"/>
              <w:jc w:val="center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Malade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Non malade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Test positif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29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58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Test négatif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1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9912</w:t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jc w:val="both"/>
        <w:rPr/>
      </w:pPr>
      <w:r>
        <w:rPr/>
        <w:t>Sur les 10 000 personnes testées dans le document 2, combien sont des « vrais positifs » ? Combien sont des « faux positifs » ?</w:t>
      </w:r>
    </w:p>
    <w:p>
      <w:pPr>
        <w:pStyle w:val="Normal"/>
        <w:suppressAutoHyphens w:val="true"/>
        <w:spacing w:lineRule="auto" w:line="240"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jc w:val="both"/>
        <w:rPr/>
      </w:pPr>
      <w:r>
        <w:rPr/>
        <w:t>En déduire, pour le groupe testé, la fréquence de vrais positifs, c’est-à-dire le pourcentage de personnes réellement malades parmi les résultats positifs au test.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jc w:val="both"/>
        <w:rPr/>
      </w:pPr>
      <w:r>
        <w:rPr/>
        <w:t>Montrer que seules 0,01 % des personnes ayant un résultat négatif au test sont en réalité malades (fréquence de faux négatifs).</w:t>
      </w:r>
    </w:p>
    <w:p>
      <w:pPr>
        <w:pStyle w:val="Normal"/>
        <w:suppressAutoHyphens w:val="true"/>
        <w:spacing w:lineRule="auto" w:line="240"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jc w:val="both"/>
        <w:rPr/>
      </w:pPr>
      <w:r>
        <w:rPr/>
        <w:t>En Afrique du Sud, la prévalence du VIH est de 18,9 % : sur un groupe de 10 000 personnes, combien sont malades ?</w:t>
      </w:r>
    </w:p>
    <w:p>
      <w:pPr>
        <w:pStyle w:val="Normal"/>
        <w:suppressAutoHyphens w:val="true"/>
        <w:spacing w:lineRule="auto" w:line="240" w:before="0" w:after="0"/>
        <w:ind w:left="0" w:hanging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spacing w:lineRule="auto" w:line="240" w:before="0" w:after="0"/>
        <w:ind w:left="708" w:hanging="0"/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jc w:val="both"/>
        <w:rPr/>
      </w:pPr>
      <w:r>
        <w:rPr/>
        <w:t>Recopier et compléter le tableau de contingence pour ce groupe de 10 000 personnes de la population sud-africaine testées avec l’autotest de détermination du VIH du document 1 (on arrondira les résultats à l’unité).</w:t>
      </w:r>
    </w:p>
    <w:p>
      <w:pPr>
        <w:pStyle w:val="Normal"/>
        <w:spacing w:lineRule="auto" w:line="240" w:before="0" w:after="0"/>
        <w:ind w:left="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tbl>
      <w:tblPr>
        <w:tblStyle w:val="Grilledutableau"/>
        <w:tblW w:w="72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408"/>
      </w:tblGrid>
      <w:tr>
        <w:trPr/>
        <w:tc>
          <w:tcPr>
            <w:tcW w:w="2407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before="0" w:after="160"/>
              <w:jc w:val="center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Malade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Non malade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Test positif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color w:val="31849B" w:themeColor="accent5" w:themeShade="bf"/>
              </w:rPr>
            </w:pPr>
            <w:r>
              <w:rPr>
                <w:rFonts w:eastAsia="Calibri" w:cs="Times New Roman"/>
                <w:color w:val="31849B" w:themeColor="accent5" w:themeShade="bf"/>
                <w:kern w:val="0"/>
                <w:lang w:val="fr-FR" w:eastAsia="fr-FR" w:bidi="ar-SA"/>
              </w:rPr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color w:val="31849B" w:themeColor="accent5" w:themeShade="bf"/>
              </w:rPr>
            </w:pPr>
            <w:r>
              <w:rPr>
                <w:rFonts w:eastAsia="Calibri" w:cs="Times New Roman"/>
                <w:color w:val="31849B" w:themeColor="accent5" w:themeShade="bf"/>
                <w:kern w:val="0"/>
                <w:lang w:val="fr-FR" w:eastAsia="fr-FR"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rFonts w:ascii="Arial" w:hAnsi="Arial" w:eastAsia="Calibri" w:cs="Times New Roman"/>
                <w:kern w:val="0"/>
                <w:lang w:val="fr-FR" w:eastAsia="fr-FR" w:bidi="ar-SA"/>
              </w:rPr>
            </w:pPr>
            <w:r>
              <w:rPr>
                <w:rFonts w:eastAsia="Calibri" w:cs="Times New Roman"/>
                <w:kern w:val="0"/>
                <w:lang w:val="fr-FR" w:eastAsia="fr-FR" w:bidi="ar-SA"/>
              </w:rPr>
              <w:t>Test négatif</w:t>
            </w:r>
          </w:p>
        </w:tc>
        <w:tc>
          <w:tcPr>
            <w:tcW w:w="2407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color w:val="31849B" w:themeColor="accent5" w:themeShade="bf"/>
              </w:rPr>
            </w:pPr>
            <w:r>
              <w:rPr>
                <w:rFonts w:eastAsia="Calibri" w:cs="Times New Roman"/>
                <w:color w:val="31849B" w:themeColor="accent5" w:themeShade="bf"/>
                <w:kern w:val="0"/>
                <w:lang w:val="fr-FR" w:eastAsia="fr-FR" w:bidi="ar-SA"/>
              </w:rPr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pacing w:before="0" w:after="160"/>
              <w:jc w:val="center"/>
              <w:rPr>
                <w:color w:val="31849B" w:themeColor="accent5" w:themeShade="bf"/>
              </w:rPr>
            </w:pPr>
            <w:r>
              <w:rPr>
                <w:rFonts w:eastAsia="Calibri" w:cs="Times New Roman"/>
                <w:color w:val="31849B" w:themeColor="accent5" w:themeShade="bf"/>
                <w:kern w:val="0"/>
                <w:lang w:val="fr-FR" w:eastAsia="fr-FR" w:bidi="ar-SA"/>
              </w:rPr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pBdr/>
        <w:suppressAutoHyphens w:val="true"/>
        <w:spacing w:before="0" w:after="0"/>
        <w:contextualSpacing/>
        <w:rPr/>
      </w:pPr>
      <w:r>
        <w:rPr/>
        <w:t>Montrer que la fréquence de vrais positifs, c’est-à-dire le pourcentage de personnes réellement malades quand le test est positif, est supérieure à 97 % en Afrique du Sud.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pBdr/>
        <w:suppressAutoHyphens w:val="true"/>
        <w:spacing w:before="0" w:after="0"/>
        <w:contextualSpacing/>
        <w:rPr/>
      </w:pPr>
      <w:r>
        <w:rPr/>
        <w:t xml:space="preserve">Comparer les fréquences de vrais positifs </w:t>
      </w:r>
      <w:r>
        <w:rPr>
          <w:color w:val="000000" w:themeColor="text1"/>
        </w:rPr>
        <w:t>entre la France et de l’Afrique du Sud</w:t>
      </w:r>
      <w:r>
        <w:rPr/>
        <w:t>, en lien avec la prévalence du VIH dans les populations considérées.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pBdr/>
        <w:suppressAutoHyphens w:val="true"/>
        <w:spacing w:before="0" w:after="0"/>
        <w:contextualSpacing/>
        <w:rPr/>
      </w:pPr>
      <w:r>
        <w:rPr/>
        <w:t>En France, on recommande de réserver la pratique de ces autotests aux personnes ayant eu une situation à risques (rapport sexuel non protégé, exposition au sang, …) pour lesquelles la prévalence est alors plus forte. Expliquer cette recommandation.</w:t>
      </w:r>
    </w:p>
    <w:sectPr>
      <w:headerReference w:type="default" r:id="rId2"/>
      <w:footerReference w:type="default" r:id="rId3"/>
      <w:type w:val="nextPage"/>
      <w:pgSz w:w="11906" w:h="16838"/>
      <w:pgMar w:left="851" w:right="851" w:gutter="0" w:header="851" w:top="1432" w:footer="851" w:bottom="141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 xml:space="preserve"> PAGE </w:instrText>
    </w:r>
    <w:r>
      <w:rPr>
        <w:color w:val="666666"/>
      </w:rPr>
      <w:fldChar w:fldCharType="separate"/>
    </w:r>
    <w:r>
      <w:rPr>
        <w:color w:val="666666"/>
      </w:rPr>
      <w:t>2</w:t>
    </w:r>
    <w:r>
      <w:rPr>
        <w:color w:val="66666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jc w:val="center"/>
      <w:rPr>
        <w:color w:val="666666"/>
      </w:rPr>
    </w:pPr>
    <w:r>
      <w:rPr>
        <w:color w:val="666666"/>
      </w:rPr>
      <w:t>Une histoire du vivant – Term - Autotest de dépistage du VIH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7c0c"/>
    <w:pPr>
      <w:widowControl/>
      <w:bidi w:val="0"/>
      <w:spacing w:lineRule="auto" w:line="259" w:before="0" w:after="160"/>
      <w:ind w:left="708" w:hanging="0"/>
      <w:jc w:val="left"/>
    </w:pPr>
    <w:rPr>
      <w:rFonts w:ascii="Arial" w:hAnsi="Arial" w:eastAsia="Calibri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 w:val="true"/>
      <w:spacing w:before="240" w:after="60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 w:val="true"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 w:val="true"/>
      <w:spacing w:before="240" w:after="60"/>
      <w:outlineLvl w:val="2"/>
    </w:pPr>
    <w:rPr>
      <w:rFonts w:eastAsia="Times New Roman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3612b"/>
    <w:rPr/>
  </w:style>
  <w:style w:type="character" w:styleId="PieddepageCar" w:customStyle="1">
    <w:name w:val="Pied de page Car"/>
    <w:basedOn w:val="DefaultParagraphFont"/>
    <w:uiPriority w:val="99"/>
    <w:qFormat/>
    <w:rsid w:val="0053612b"/>
    <w:rPr/>
  </w:style>
  <w:style w:type="character" w:styleId="ConsignesCar" w:customStyle="1">
    <w:name w:val="(!)consignes Car"/>
    <w:link w:val="Consignes"/>
    <w:qFormat/>
    <w:rsid w:val="0053612b"/>
    <w:rPr>
      <w:rFonts w:ascii="Calibri" w:hAnsi="Calibri" w:eastAsia="Calibri" w:cs="Calibri"/>
      <w:color w:val="231F20"/>
      <w:sz w:val="18"/>
    </w:rPr>
  </w:style>
  <w:style w:type="character" w:styleId="EnTetePiedsDePageCar" w:customStyle="1">
    <w:name w:val="(!)EnTetePiedsDePage Car"/>
    <w:link w:val="EnTetePiedsDePage"/>
    <w:qFormat/>
    <w:rsid w:val="001424d6"/>
    <w:rPr>
      <w:rFonts w:ascii="Arial" w:hAnsi="Arial" w:cs="Arial"/>
      <w:sz w:val="18"/>
    </w:rPr>
  </w:style>
  <w:style w:type="character" w:styleId="Titre1Car" w:customStyle="1">
    <w:name w:val="Titre 1 Car"/>
    <w:uiPriority w:val="9"/>
    <w:qFormat/>
    <w:rsid w:val="0084040c"/>
    <w:rPr>
      <w:rFonts w:eastAsia="Times New Roman" w:cs="Times New Roman"/>
      <w:b/>
      <w:bCs/>
      <w:kern w:val="2"/>
      <w:sz w:val="32"/>
      <w:szCs w:val="32"/>
    </w:rPr>
  </w:style>
  <w:style w:type="character" w:styleId="Titre2Car" w:customStyle="1">
    <w:name w:val="Titre 2 Car"/>
    <w:uiPriority w:val="9"/>
    <w:qFormat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styleId="Titre3Car" w:customStyle="1">
    <w:name w:val="Titre 3 Car"/>
    <w:uiPriority w:val="9"/>
    <w:qFormat/>
    <w:rsid w:val="0084040c"/>
    <w:rPr>
      <w:rFonts w:eastAsia="Times New Roman" w:cs="Times New Roman"/>
      <w:b/>
      <w:bCs/>
      <w:szCs w:val="26"/>
    </w:rPr>
  </w:style>
  <w:style w:type="character" w:styleId="TextedebullesCar" w:customStyle="1">
    <w:name w:val="Texte de bulles Car"/>
    <w:link w:val="BalloonText"/>
    <w:uiPriority w:val="99"/>
    <w:semiHidden/>
    <w:qFormat/>
    <w:rsid w:val="00af5bc9"/>
    <w:rPr>
      <w:rFonts w:ascii="Tahoma" w:hAnsi="Tahoma" w:cs="Tahoma"/>
      <w:sz w:val="16"/>
      <w:szCs w:val="16"/>
    </w:rPr>
  </w:style>
  <w:style w:type="character" w:styleId="LienInternet">
    <w:name w:val="Lien Internet"/>
    <w:basedOn w:val="DefaultParagraphFont"/>
    <w:uiPriority w:val="99"/>
    <w:unhideWhenUsed/>
    <w:rsid w:val="0072286c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Calibri" w:hAnsi="Calibri"/>
    </w:rPr>
  </w:style>
  <w:style w:type="paragraph" w:styleId="Consignes" w:customStyle="1">
    <w:name w:val="(!)consignes"/>
    <w:basedOn w:val="Normal"/>
    <w:link w:val="ConsignesCar"/>
    <w:qFormat/>
    <w:rsid w:val="0053612b"/>
    <w:pPr>
      <w:spacing w:lineRule="auto" w:line="240" w:before="0" w:after="0"/>
      <w:ind w:left="1572" w:right="-20" w:hanging="0"/>
    </w:pPr>
    <w:rPr>
      <w:rFonts w:ascii="Calibri" w:hAnsi="Calibri" w:cs="Calibri"/>
      <w:color w:val="231F20"/>
      <w:sz w:val="18"/>
    </w:rPr>
  </w:style>
  <w:style w:type="paragraph" w:styleId="EnTetePiedsDePage" w:customStyle="1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f5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237fa9"/>
    <w:pPr>
      <w:pBdr/>
      <w:spacing w:lineRule="auto" w:line="240" w:beforeAutospacing="1" w:afterAutospacing="1"/>
      <w:ind w:left="0" w:hanging="0"/>
    </w:pPr>
    <w:rPr>
      <w:rFonts w:ascii="Times New Roman" w:hAnsi="Times New Roman" w:eastAsia="Times New Roman"/>
    </w:rPr>
  </w:style>
  <w:style w:type="paragraph" w:styleId="Titre11" w:customStyle="1">
    <w:name w:val="Titre 11"/>
    <w:basedOn w:val="Normal"/>
    <w:next w:val="Normal"/>
    <w:uiPriority w:val="9"/>
    <w:qFormat/>
    <w:rsid w:val="00237fa9"/>
    <w:pPr>
      <w:keepNext w:val="true"/>
      <w:pBdr/>
      <w:spacing w:before="240" w:after="60"/>
      <w:outlineLvl w:val="0"/>
    </w:pPr>
    <w:rPr>
      <w:rFonts w:eastAsia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2286c"/>
    <w:pPr>
      <w:pBdr/>
      <w:spacing w:lineRule="auto" w:line="240" w:before="0" w:after="60"/>
      <w:ind w:left="720" w:hanging="0"/>
      <w:contextualSpacing/>
      <w:jc w:val="both"/>
    </w:pPr>
    <w:rPr>
      <w:rFonts w:cs="Arial"/>
      <w:szCs w:val="22"/>
    </w:rPr>
  </w:style>
  <w:style w:type="paragraph" w:styleId="Contenudetableau" w:customStyle="1">
    <w:name w:val="Contenu de tableau"/>
    <w:basedOn w:val="Normal"/>
    <w:qFormat/>
    <w:rsid w:val="001b3433"/>
    <w:pPr>
      <w:suppressLineNumbers/>
      <w:spacing w:lineRule="auto" w:line="240" w:before="0" w:after="0"/>
      <w:ind w:left="0" w:hanging="0"/>
    </w:pPr>
    <w:rPr>
      <w:rFonts w:ascii="Liberation Serif" w:hAnsi="Liberation Serif" w:eastAsia="SimSun" w:cs="Arial"/>
      <w:color w:val="00000A"/>
      <w:lang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01e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lledutableau1">
    <w:name w:val="Grille du tableau1"/>
    <w:basedOn w:val="TableauNormal"/>
    <w:uiPriority w:val="39"/>
    <w:rsid w:val="00847c0c"/>
    <w:rPr>
      <w:lang w:eastAsia="en-US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LibreOffice/7.3.1.3$Linux_X86_64 LibreOffice_project/30$Build-3</Application>
  <AppVersion>15.0000</AppVersion>
  <Pages>2</Pages>
  <Words>403</Words>
  <Characters>1983</Characters>
  <CharactersWithSpaces>2350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2021-04-18T08:38:00Z</dcterms:created>
  <dc:creator/>
  <dc:description/>
  <dc:language>fr-FR</dc:language>
  <cp:lastModifiedBy/>
  <dcterms:modified xsi:type="dcterms:W3CDTF">2022-04-12T14:24:56Z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