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spacing w:before="240" w:after="60"/>
        <w:ind w:left="0" w:hanging="0"/>
        <w:jc w:val="center"/>
        <w:rPr>
          <w:rFonts w:cs="Arial"/>
        </w:rPr>
      </w:pPr>
      <w:r>
        <w:rPr>
          <w:rFonts w:cs="Arial"/>
        </w:rPr>
        <w:t>La dengue, une maladie transmise par les moustiques</w:t>
      </w:r>
    </w:p>
    <w:p>
      <w:pPr>
        <w:pStyle w:val="Normal"/>
        <w:ind w:left="0" w:hanging="0"/>
        <w:rPr>
          <w:rFonts w:cs="Arial"/>
          <w:i/>
          <w:i/>
          <w:iCs/>
        </w:rPr>
      </w:pPr>
      <w:r>
        <w:rPr>
          <w:rFonts w:cs="Arial"/>
          <w:i/>
          <w:iCs/>
        </w:rPr>
      </w:r>
    </w:p>
    <w:p>
      <w:pPr>
        <w:pStyle w:val="Normal"/>
        <w:ind w:left="0" w:hanging="0"/>
        <w:jc w:val="both"/>
        <w:rPr>
          <w:rFonts w:cs="Arial"/>
        </w:rPr>
      </w:pPr>
      <w:r>
        <w:rPr>
          <w:rFonts w:cs="Arial"/>
        </w:rPr>
        <w:t xml:space="preserve">La dengue est une maladie virale transmise à l’être humain par un moustique du genre Aedes. Ses symptômes les plus fréquents sont de la fièvre et des douleurs articulaires. Originaire des régions tropicales, la dengue a fait son apparition en France métropolitaine en 2010 et progresse depuis (51 départements touchés en 2019 selon Santé Publique France). </w:t>
      </w:r>
    </w:p>
    <w:p>
      <w:pPr>
        <w:pStyle w:val="Normal"/>
        <w:ind w:left="0" w:hanging="0"/>
        <w:rPr>
          <w:rFonts w:cs="Arial"/>
        </w:rPr>
      </w:pPr>
      <w:r>
        <w:rPr>
          <w:rFonts w:cs="Arial"/>
        </w:rPr>
        <w:t>On s’intéresse aux méthodes de dépistage et de prévention de cette maladie.</w:t>
      </w:r>
    </w:p>
    <w:p>
      <w:pPr>
        <w:pStyle w:val="Normal"/>
        <w:rPr>
          <w:rFonts w:cs="Arial"/>
          <w:b/>
          <w:b/>
          <w:bCs/>
          <w:u w:val="single"/>
        </w:rPr>
      </w:pPr>
      <w:r>
        <w:rPr>
          <w:rFonts w:cs="Arial"/>
          <w:b/>
          <w:bCs/>
          <w:u w:val="single"/>
        </w:rPr>
      </w:r>
    </w:p>
    <w:p>
      <w:pPr>
        <w:pStyle w:val="Normal"/>
        <w:ind w:left="0" w:hanging="0"/>
        <w:rPr>
          <w:rFonts w:cs="Arial"/>
          <w:b/>
          <w:b/>
          <w:bCs/>
          <w:u w:val="single"/>
        </w:rPr>
      </w:pPr>
      <w:r>
        <w:rPr>
          <w:rFonts w:cs="Arial"/>
          <w:b/>
          <w:bCs/>
          <w:u w:val="single"/>
        </w:rPr>
        <w:t>Partie 1- Le dépistage de la dengue dans une population humaine.</w:t>
      </w:r>
    </w:p>
    <w:p>
      <w:pPr>
        <w:pStyle w:val="Normal"/>
        <w:ind w:left="0" w:hanging="0"/>
        <w:rPr>
          <w:rFonts w:cs="Arial"/>
        </w:rPr>
      </w:pPr>
      <w:r>
        <w:rPr>
          <w:rFonts w:cs="Arial"/>
        </w:rPr>
        <w:t>Tout test de dépistage est caractérisé par :</w:t>
      </w:r>
    </w:p>
    <w:p>
      <w:pPr>
        <w:pStyle w:val="ListParagraph"/>
        <w:numPr>
          <w:ilvl w:val="0"/>
          <w:numId w:val="1"/>
        </w:numPr>
        <w:rPr>
          <w:rFonts w:cs="Arial"/>
        </w:rPr>
      </w:pPr>
      <w:r>
        <w:rPr>
          <w:rFonts w:cs="Arial"/>
        </w:rPr>
        <w:t>sa sensibilité : probabilité qu’un test soit positif quand la personne est atteinte ;</w:t>
      </w:r>
    </w:p>
    <w:p>
      <w:pPr>
        <w:pStyle w:val="ListParagraph"/>
        <w:numPr>
          <w:ilvl w:val="0"/>
          <w:numId w:val="1"/>
        </w:numPr>
        <w:jc w:val="both"/>
        <w:rPr>
          <w:rFonts w:cs="Arial"/>
        </w:rPr>
      </w:pPr>
      <w:r>
        <w:rPr>
          <w:rFonts w:cs="Arial"/>
        </w:rPr>
        <w:t>sa spécificité : probabilité qu’un test soit négatif quand une personne n’est pas atteinte (on dit aussi que la personne est saine).</w:t>
      </w:r>
    </w:p>
    <w:p>
      <w:pPr>
        <w:pStyle w:val="Normal"/>
        <w:ind w:left="0" w:hanging="0"/>
        <w:jc w:val="both"/>
        <w:rPr>
          <w:rFonts w:cs="Arial"/>
          <w:b/>
          <w:b/>
          <w:bCs/>
          <w:u w:val="single"/>
        </w:rPr>
      </w:pPr>
      <w:r>
        <w:rPr>
          <w:rFonts w:cs="Arial"/>
        </w:rPr>
        <w:t xml:space="preserve">Un test de dépistage de la dengue est basé sur la détection de l’antigène NS1 dans le sang. La notice du test indique que sa sensibilité est de 97,7 %. </w:t>
      </w:r>
    </w:p>
    <w:p>
      <w:pPr>
        <w:pStyle w:val="Normal"/>
        <w:ind w:left="0" w:hanging="0"/>
        <w:rPr>
          <w:rFonts w:cs="Arial"/>
          <w:b/>
          <w:b/>
          <w:bCs/>
          <w:u w:val="single"/>
        </w:rPr>
      </w:pPr>
      <w:r>
        <w:rPr>
          <w:rFonts w:cs="Arial"/>
          <w:b/>
          <w:bCs/>
          <w:u w:val="single"/>
        </w:rPr>
        <w:t>Document 1 : tableau de contingence pour le test de détection de l’antigène NS1.</w:t>
      </w:r>
    </w:p>
    <w:tbl>
      <w:tblPr>
        <w:tblStyle w:val="Grilledutableau"/>
        <w:tblW w:w="7302" w:type="dxa"/>
        <w:jc w:val="left"/>
        <w:tblInd w:w="846" w:type="dxa"/>
        <w:tblLayout w:type="fixed"/>
        <w:tblCellMar>
          <w:top w:w="0" w:type="dxa"/>
          <w:left w:w="108" w:type="dxa"/>
          <w:bottom w:w="0" w:type="dxa"/>
          <w:right w:w="108" w:type="dxa"/>
        </w:tblCellMar>
        <w:tblLook w:val="04a0" w:noHBand="0" w:noVBand="1" w:firstColumn="1" w:lastRow="0" w:lastColumn="0" w:firstRow="1"/>
      </w:tblPr>
      <w:tblGrid>
        <w:gridCol w:w="1529"/>
        <w:gridCol w:w="1924"/>
        <w:gridCol w:w="1924"/>
        <w:gridCol w:w="1924"/>
      </w:tblGrid>
      <w:tr>
        <w:trPr/>
        <w:tc>
          <w:tcPr>
            <w:tcW w:w="1529" w:type="dxa"/>
            <w:tcBorders/>
            <w:vAlign w:val="center"/>
          </w:tcPr>
          <w:p>
            <w:pPr>
              <w:pStyle w:val="Normal"/>
              <w:widowControl w:val="false"/>
              <w:suppressAutoHyphens w:val="true"/>
              <w:spacing w:before="0" w:after="160"/>
              <w:ind w:left="-54" w:hanging="0"/>
              <w:jc w:val="center"/>
              <w:rPr>
                <w:rFonts w:cs="Arial"/>
              </w:rPr>
            </w:pPr>
            <w:r>
              <w:rPr>
                <w:rFonts w:cs="Arial"/>
              </w:rPr>
            </w:r>
          </w:p>
        </w:tc>
        <w:tc>
          <w:tcPr>
            <w:tcW w:w="1924" w:type="dxa"/>
            <w:tcBorders/>
            <w:vAlign w:val="center"/>
          </w:tcPr>
          <w:p>
            <w:pPr>
              <w:pStyle w:val="Normal"/>
              <w:widowControl w:val="false"/>
              <w:suppressAutoHyphens w:val="true"/>
              <w:spacing w:before="0" w:after="160"/>
              <w:ind w:left="-54" w:hanging="0"/>
              <w:jc w:val="center"/>
              <w:rPr>
                <w:rFonts w:cs="Arial"/>
              </w:rPr>
            </w:pPr>
            <w:r>
              <w:rPr>
                <w:rFonts w:eastAsia="Calibri" w:cs="Arial"/>
                <w:kern w:val="0"/>
                <w:lang w:val="fr-FR" w:eastAsia="fr-FR" w:bidi="ar-SA"/>
              </w:rPr>
              <w:t>Personnes atteintes de la dengue</w:t>
            </w:r>
          </w:p>
        </w:tc>
        <w:tc>
          <w:tcPr>
            <w:tcW w:w="1924" w:type="dxa"/>
            <w:tcBorders/>
            <w:vAlign w:val="center"/>
          </w:tcPr>
          <w:p>
            <w:pPr>
              <w:pStyle w:val="Normal"/>
              <w:widowControl w:val="false"/>
              <w:suppressAutoHyphens w:val="true"/>
              <w:spacing w:before="0" w:after="160"/>
              <w:ind w:left="-54" w:firstLine="11"/>
              <w:jc w:val="center"/>
              <w:rPr>
                <w:rFonts w:cs="Arial"/>
              </w:rPr>
            </w:pPr>
            <w:r>
              <w:rPr>
                <w:rFonts w:eastAsia="Calibri" w:cs="Arial"/>
                <w:kern w:val="0"/>
                <w:lang w:val="fr-FR" w:eastAsia="fr-FR" w:bidi="ar-SA"/>
              </w:rPr>
              <w:t>Personnes saines</w:t>
            </w:r>
          </w:p>
        </w:tc>
        <w:tc>
          <w:tcPr>
            <w:tcW w:w="1924" w:type="dxa"/>
            <w:tcBorders/>
            <w:vAlign w:val="center"/>
          </w:tcPr>
          <w:p>
            <w:pPr>
              <w:pStyle w:val="Normal"/>
              <w:widowControl w:val="false"/>
              <w:suppressAutoHyphens w:val="true"/>
              <w:spacing w:before="0" w:after="160"/>
              <w:ind w:left="-54" w:hanging="0"/>
              <w:jc w:val="center"/>
              <w:rPr>
                <w:rFonts w:cs="Arial"/>
              </w:rPr>
            </w:pPr>
            <w:r>
              <w:rPr>
                <w:rFonts w:eastAsia="Calibri" w:cs="Arial"/>
                <w:kern w:val="0"/>
                <w:lang w:val="fr-FR" w:eastAsia="fr-FR" w:bidi="ar-SA"/>
              </w:rPr>
              <w:t>Effectif total</w:t>
            </w:r>
          </w:p>
        </w:tc>
      </w:tr>
      <w:tr>
        <w:trPr/>
        <w:tc>
          <w:tcPr>
            <w:tcW w:w="1529" w:type="dxa"/>
            <w:tcBorders/>
            <w:vAlign w:val="center"/>
          </w:tcPr>
          <w:p>
            <w:pPr>
              <w:pStyle w:val="Normal"/>
              <w:widowControl w:val="false"/>
              <w:suppressAutoHyphens w:val="true"/>
              <w:spacing w:before="0" w:after="160"/>
              <w:ind w:left="-54" w:hanging="0"/>
              <w:jc w:val="center"/>
              <w:rPr>
                <w:rFonts w:cs="Arial"/>
              </w:rPr>
            </w:pPr>
            <w:r>
              <w:rPr>
                <w:rFonts w:eastAsia="Calibri" w:cs="Arial"/>
                <w:kern w:val="0"/>
                <w:lang w:val="fr-FR" w:eastAsia="fr-FR" w:bidi="ar-SA"/>
              </w:rPr>
              <w:t>Test positif</w:t>
            </w:r>
          </w:p>
        </w:tc>
        <w:tc>
          <w:tcPr>
            <w:tcW w:w="1924" w:type="dxa"/>
            <w:tcBorders/>
            <w:vAlign w:val="center"/>
          </w:tcPr>
          <w:p>
            <w:pPr>
              <w:pStyle w:val="Normal"/>
              <w:widowControl w:val="false"/>
              <w:suppressAutoHyphens w:val="true"/>
              <w:spacing w:before="0" w:after="160"/>
              <w:ind w:left="0" w:hanging="0"/>
              <w:jc w:val="left"/>
              <w:rPr>
                <w:rFonts w:cs="Arial"/>
              </w:rPr>
            </w:pPr>
            <w:r>
              <w:rPr>
                <w:rFonts w:cs="Arial"/>
              </w:rPr>
            </w:r>
          </w:p>
        </w:tc>
        <w:tc>
          <w:tcPr>
            <w:tcW w:w="1924" w:type="dxa"/>
            <w:tcBorders/>
            <w:vAlign w:val="center"/>
          </w:tcPr>
          <w:p>
            <w:pPr>
              <w:pStyle w:val="Normal"/>
              <w:widowControl w:val="false"/>
              <w:suppressAutoHyphens w:val="true"/>
              <w:spacing w:before="0" w:after="160"/>
              <w:ind w:left="-54" w:hanging="0"/>
              <w:jc w:val="center"/>
              <w:rPr>
                <w:rFonts w:cs="Arial"/>
              </w:rPr>
            </w:pPr>
            <w:r>
              <w:rPr>
                <w:rFonts w:cs="Arial"/>
              </w:rPr>
            </w:r>
          </w:p>
        </w:tc>
        <w:tc>
          <w:tcPr>
            <w:tcW w:w="1924" w:type="dxa"/>
            <w:tcBorders/>
            <w:vAlign w:val="center"/>
          </w:tcPr>
          <w:p>
            <w:pPr>
              <w:pStyle w:val="Normal"/>
              <w:widowControl w:val="false"/>
              <w:suppressAutoHyphens w:val="true"/>
              <w:spacing w:before="0" w:after="160"/>
              <w:ind w:left="-54" w:hanging="0"/>
              <w:jc w:val="center"/>
              <w:rPr>
                <w:rFonts w:cs="Arial"/>
              </w:rPr>
            </w:pPr>
            <w:r>
              <w:rPr>
                <w:rFonts w:cs="Arial"/>
              </w:rPr>
            </w:r>
          </w:p>
        </w:tc>
      </w:tr>
      <w:tr>
        <w:trPr/>
        <w:tc>
          <w:tcPr>
            <w:tcW w:w="1529" w:type="dxa"/>
            <w:tcBorders/>
            <w:vAlign w:val="center"/>
          </w:tcPr>
          <w:p>
            <w:pPr>
              <w:pStyle w:val="Normal"/>
              <w:widowControl w:val="false"/>
              <w:suppressAutoHyphens w:val="true"/>
              <w:spacing w:before="0" w:after="160"/>
              <w:ind w:left="-54" w:hanging="0"/>
              <w:jc w:val="center"/>
              <w:rPr>
                <w:rFonts w:cs="Arial"/>
              </w:rPr>
            </w:pPr>
            <w:r>
              <w:rPr>
                <w:rFonts w:eastAsia="Calibri" w:cs="Arial"/>
                <w:kern w:val="0"/>
                <w:lang w:val="fr-FR" w:eastAsia="fr-FR" w:bidi="ar-SA"/>
              </w:rPr>
              <w:t>Test négatif</w:t>
            </w:r>
          </w:p>
        </w:tc>
        <w:tc>
          <w:tcPr>
            <w:tcW w:w="1924" w:type="dxa"/>
            <w:tcBorders/>
            <w:vAlign w:val="center"/>
          </w:tcPr>
          <w:p>
            <w:pPr>
              <w:pStyle w:val="Normal"/>
              <w:widowControl w:val="false"/>
              <w:suppressAutoHyphens w:val="true"/>
              <w:spacing w:before="0" w:after="160"/>
              <w:ind w:left="0" w:hanging="0"/>
              <w:jc w:val="left"/>
              <w:rPr>
                <w:rFonts w:cs="Arial"/>
              </w:rPr>
            </w:pPr>
            <w:r>
              <w:rPr>
                <w:rFonts w:cs="Arial"/>
              </w:rPr>
            </w:r>
          </w:p>
        </w:tc>
        <w:tc>
          <w:tcPr>
            <w:tcW w:w="1924" w:type="dxa"/>
            <w:tcBorders/>
            <w:vAlign w:val="center"/>
          </w:tcPr>
          <w:p>
            <w:pPr>
              <w:pStyle w:val="Normal"/>
              <w:widowControl w:val="false"/>
              <w:suppressAutoHyphens w:val="true"/>
              <w:spacing w:before="0" w:after="160"/>
              <w:ind w:left="-54" w:hanging="0"/>
              <w:jc w:val="center"/>
              <w:rPr>
                <w:rFonts w:cs="Arial"/>
              </w:rPr>
            </w:pPr>
            <w:r>
              <w:rPr>
                <w:rFonts w:eastAsia="Calibri" w:cs="Arial"/>
                <w:kern w:val="0"/>
                <w:lang w:val="fr-FR" w:eastAsia="fr-FR" w:bidi="ar-SA"/>
              </w:rPr>
              <w:t>8 990</w:t>
            </w:r>
          </w:p>
        </w:tc>
        <w:tc>
          <w:tcPr>
            <w:tcW w:w="1924" w:type="dxa"/>
            <w:tcBorders/>
            <w:vAlign w:val="center"/>
          </w:tcPr>
          <w:p>
            <w:pPr>
              <w:pStyle w:val="Normal"/>
              <w:widowControl w:val="false"/>
              <w:suppressAutoHyphens w:val="true"/>
              <w:spacing w:before="0" w:after="160"/>
              <w:ind w:left="-54" w:hanging="0"/>
              <w:jc w:val="center"/>
              <w:rPr>
                <w:rFonts w:cs="Arial"/>
              </w:rPr>
            </w:pPr>
            <w:r>
              <w:rPr>
                <w:rFonts w:cs="Arial"/>
              </w:rPr>
            </w:r>
          </w:p>
        </w:tc>
      </w:tr>
      <w:tr>
        <w:trPr>
          <w:trHeight w:val="591" w:hRule="atLeast"/>
        </w:trPr>
        <w:tc>
          <w:tcPr>
            <w:tcW w:w="1529" w:type="dxa"/>
            <w:tcBorders/>
            <w:vAlign w:val="center"/>
          </w:tcPr>
          <w:p>
            <w:pPr>
              <w:pStyle w:val="Normal"/>
              <w:widowControl w:val="false"/>
              <w:suppressAutoHyphens w:val="true"/>
              <w:spacing w:before="0" w:after="160"/>
              <w:ind w:left="-54" w:hanging="0"/>
              <w:jc w:val="center"/>
              <w:rPr>
                <w:rFonts w:cs="Arial"/>
              </w:rPr>
            </w:pPr>
            <w:r>
              <w:rPr>
                <w:rFonts w:eastAsia="Calibri" w:cs="Arial"/>
                <w:kern w:val="0"/>
                <w:lang w:val="fr-FR" w:eastAsia="fr-FR" w:bidi="ar-SA"/>
              </w:rPr>
              <w:t>Effectif total</w:t>
            </w:r>
          </w:p>
        </w:tc>
        <w:tc>
          <w:tcPr>
            <w:tcW w:w="1924" w:type="dxa"/>
            <w:tcBorders/>
            <w:vAlign w:val="center"/>
          </w:tcPr>
          <w:p>
            <w:pPr>
              <w:pStyle w:val="Normal"/>
              <w:widowControl w:val="false"/>
              <w:suppressAutoHyphens w:val="true"/>
              <w:spacing w:before="0" w:after="160"/>
              <w:ind w:left="-54" w:hanging="0"/>
              <w:jc w:val="center"/>
              <w:rPr>
                <w:rFonts w:cs="Arial"/>
              </w:rPr>
            </w:pPr>
            <w:r>
              <w:rPr>
                <w:rFonts w:eastAsia="Calibri" w:cs="Arial"/>
                <w:kern w:val="0"/>
                <w:lang w:val="fr-FR" w:eastAsia="fr-FR" w:bidi="ar-SA"/>
              </w:rPr>
              <w:t>365</w:t>
            </w:r>
          </w:p>
        </w:tc>
        <w:tc>
          <w:tcPr>
            <w:tcW w:w="1924" w:type="dxa"/>
            <w:tcBorders/>
            <w:vAlign w:val="center"/>
          </w:tcPr>
          <w:p>
            <w:pPr>
              <w:pStyle w:val="Normal"/>
              <w:widowControl w:val="false"/>
              <w:suppressAutoHyphens w:val="true"/>
              <w:spacing w:before="0" w:after="160"/>
              <w:ind w:left="-54" w:hanging="0"/>
              <w:jc w:val="center"/>
              <w:rPr>
                <w:rFonts w:cs="Arial"/>
              </w:rPr>
            </w:pPr>
            <w:r>
              <w:rPr>
                <w:rFonts w:eastAsia="Calibri" w:cs="Arial"/>
                <w:kern w:val="0"/>
                <w:lang w:val="fr-FR" w:eastAsia="fr-FR" w:bidi="ar-SA"/>
              </w:rPr>
              <w:t>9 635</w:t>
            </w:r>
          </w:p>
        </w:tc>
        <w:tc>
          <w:tcPr>
            <w:tcW w:w="1924" w:type="dxa"/>
            <w:tcBorders/>
            <w:vAlign w:val="center"/>
          </w:tcPr>
          <w:p>
            <w:pPr>
              <w:pStyle w:val="Normal"/>
              <w:widowControl w:val="false"/>
              <w:suppressAutoHyphens w:val="true"/>
              <w:spacing w:before="0" w:after="160"/>
              <w:ind w:left="-54" w:hanging="0"/>
              <w:jc w:val="center"/>
              <w:rPr>
                <w:rFonts w:cs="Arial"/>
              </w:rPr>
            </w:pPr>
            <w:r>
              <w:rPr>
                <w:rFonts w:eastAsia="Calibri" w:cs="Arial"/>
                <w:kern w:val="0"/>
                <w:lang w:val="fr-FR" w:eastAsia="fr-FR" w:bidi="ar-SA"/>
              </w:rPr>
              <w:t>10 000</w:t>
            </w:r>
          </w:p>
        </w:tc>
      </w:tr>
    </w:tbl>
    <w:p>
      <w:pPr>
        <w:pStyle w:val="Normal"/>
        <w:jc w:val="right"/>
        <w:rPr>
          <w:rFonts w:cs="Arial"/>
          <w:sz w:val="20"/>
        </w:rPr>
      </w:pPr>
      <w:r>
        <w:rPr>
          <w:rFonts w:cs="Arial"/>
          <w:sz w:val="20"/>
        </w:rPr>
      </w:r>
    </w:p>
    <w:p>
      <w:pPr>
        <w:pStyle w:val="Normal"/>
        <w:jc w:val="right"/>
        <w:rPr>
          <w:rFonts w:cs="Arial"/>
          <w:sz w:val="20"/>
        </w:rPr>
      </w:pPr>
      <w:r>
        <w:rPr>
          <w:rFonts w:cs="Arial"/>
          <w:sz w:val="20"/>
        </w:rPr>
        <w:t>Source : Haute autorité de santé</w:t>
      </w:r>
    </w:p>
    <w:p>
      <w:pPr>
        <w:pStyle w:val="Normal"/>
        <w:ind w:left="0" w:hanging="0"/>
        <w:rPr>
          <w:rFonts w:cs="Arial"/>
          <w:sz w:val="20"/>
        </w:rPr>
      </w:pPr>
      <w:r>
        <w:rPr>
          <w:rFonts w:cs="Arial"/>
          <w:sz w:val="20"/>
        </w:rPr>
      </w:r>
    </w:p>
    <w:p>
      <w:pPr>
        <w:pStyle w:val="Normal"/>
        <w:ind w:left="0" w:hanging="0"/>
        <w:rPr>
          <w:rFonts w:cs="Arial"/>
        </w:rPr>
      </w:pPr>
      <w:r>
        <w:rPr>
          <w:rFonts w:cs="Arial"/>
          <w:b/>
          <w:bCs/>
        </w:rPr>
        <w:t>1-</w:t>
      </w:r>
      <w:r>
        <w:rPr>
          <w:rFonts w:cs="Arial"/>
        </w:rPr>
        <w:t xml:space="preserve"> Calculer, à partir du tableau de contingence, la spécificité du test de dépistage de la dengue.</w:t>
      </w:r>
    </w:p>
    <w:p>
      <w:pPr>
        <w:pStyle w:val="Normal"/>
        <w:ind w:left="0" w:hanging="0"/>
        <w:rPr>
          <w:rFonts w:cs="Arial"/>
          <w:b/>
          <w:b/>
        </w:rPr>
      </w:pPr>
      <w:r>
        <w:rPr>
          <w:rFonts w:cs="Arial"/>
          <w:b/>
          <w:bCs/>
        </w:rPr>
        <w:t xml:space="preserve">2- </w:t>
      </w:r>
      <w:r>
        <w:rPr>
          <w:rFonts w:cs="Arial"/>
        </w:rPr>
        <w:t>Recopier et compléter le tableau de contingence (arrondir au besoin à l’unité).</w:t>
      </w:r>
    </w:p>
    <w:p>
      <w:pPr>
        <w:pStyle w:val="Normal"/>
        <w:ind w:left="0" w:hanging="0"/>
        <w:jc w:val="both"/>
        <w:rPr>
          <w:rFonts w:cs="Arial"/>
          <w:b/>
          <w:b/>
        </w:rPr>
      </w:pPr>
      <w:r>
        <w:rPr>
          <w:rFonts w:cs="Arial"/>
          <w:b/>
        </w:rPr>
        <w:t xml:space="preserve">3- </w:t>
      </w:r>
      <w:r>
        <w:rPr>
          <w:rFonts w:cs="Arial"/>
          <w:bCs/>
        </w:rPr>
        <w:t>Une personne vient de se faire tester et son résultat est positif, calculer la probabilité que cette personne soit effectivement atteinte de la dengue.</w:t>
      </w:r>
    </w:p>
    <w:p>
      <w:pPr>
        <w:pStyle w:val="Normal"/>
        <w:spacing w:lineRule="auto" w:line="240" w:before="0" w:after="0"/>
        <w:ind w:left="0" w:hanging="0"/>
        <w:rPr>
          <w:rFonts w:cs="Arial"/>
        </w:rPr>
      </w:pPr>
      <w:r>
        <w:rPr>
          <w:rFonts w:cs="Arial"/>
        </w:rPr>
      </w:r>
      <w:r>
        <w:br w:type="page"/>
      </w:r>
    </w:p>
    <w:p>
      <w:pPr>
        <w:pStyle w:val="Normal"/>
        <w:ind w:left="0" w:hanging="0"/>
        <w:rPr>
          <w:rFonts w:cs="Arial"/>
          <w:b/>
          <w:b/>
          <w:bCs/>
          <w:u w:val="single"/>
        </w:rPr>
      </w:pPr>
      <w:r>
        <w:rPr>
          <w:rFonts w:cs="Arial"/>
          <w:b/>
          <w:bCs/>
          <w:u w:val="single"/>
        </w:rPr>
        <w:t>Partie 2 - La lutte contre les moustiques.</w:t>
      </w:r>
    </w:p>
    <w:p>
      <w:pPr>
        <w:pStyle w:val="Normal"/>
        <w:ind w:left="0" w:hanging="0"/>
        <w:jc w:val="both"/>
        <w:rPr>
          <w:rFonts w:cs="Arial"/>
        </w:rPr>
      </w:pPr>
      <w:r>
        <w:rPr>
          <w:rFonts w:cs="Arial"/>
        </w:rPr>
        <w:t>Le virus de la dengue étant transmis par les moustiques, une des mesures de prévention consiste à diminuer le risque d’être piqué. Deux méthodes sont actuellement à l’étude avant leur mise sur le marché : un traitement homéopathique et un piège à CO</w:t>
      </w:r>
      <w:r>
        <w:rPr>
          <w:rFonts w:cs="Arial"/>
          <w:vertAlign w:val="subscript"/>
        </w:rPr>
        <w:t>2</w:t>
      </w:r>
      <w:r>
        <w:rPr>
          <w:rFonts w:cs="Arial"/>
        </w:rPr>
        <w:t>.</w:t>
      </w:r>
    </w:p>
    <w:tbl>
      <w:tblPr>
        <w:tblStyle w:val="Grilledutableau"/>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95"/>
      </w:tblGrid>
      <w:tr>
        <w:trPr/>
        <w:tc>
          <w:tcPr>
            <w:tcW w:w="10195" w:type="dxa"/>
            <w:tcBorders/>
          </w:tcPr>
          <w:p>
            <w:pPr>
              <w:pStyle w:val="Normal"/>
              <w:widowControl w:val="false"/>
              <w:suppressAutoHyphens w:val="true"/>
              <w:spacing w:before="0" w:after="160"/>
              <w:ind w:left="0" w:hanging="0"/>
              <w:jc w:val="left"/>
              <w:rPr>
                <w:rFonts w:cs="Arial"/>
                <w:b/>
                <w:b/>
                <w:bCs/>
              </w:rPr>
            </w:pPr>
            <w:r>
              <w:rPr>
                <w:rFonts w:eastAsia="Calibri" w:cs="Arial"/>
                <w:b/>
                <w:bCs/>
                <w:kern w:val="0"/>
                <w:lang w:val="fr-FR" w:eastAsia="fr-FR" w:bidi="ar-SA"/>
              </w:rPr>
              <w:t xml:space="preserve">Document de référence (aucune exploitation n’est demandée) : mesure de l’attractivité vis-à-vis des moustiques par le test du mollet </w:t>
            </w:r>
          </w:p>
          <w:p>
            <w:pPr>
              <w:pStyle w:val="Normal"/>
              <w:widowControl w:val="false"/>
              <w:suppressAutoHyphens w:val="true"/>
              <w:spacing w:before="0" w:after="160"/>
              <w:ind w:left="0" w:hanging="0"/>
              <w:jc w:val="both"/>
              <w:rPr>
                <w:rFonts w:cs="Arial"/>
              </w:rPr>
            </w:pPr>
            <w:r>
              <w:rPr>
                <w:rFonts w:eastAsia="Calibri" w:cs="Arial"/>
                <w:kern w:val="0"/>
                <w:lang w:val="fr-FR" w:eastAsia="fr-FR" w:bidi="ar-SA"/>
              </w:rPr>
              <w:t xml:space="preserve">Le « test du mollet » consiste à demander à des individus d’exposer leur mollet aux moustiques, dans un même environnement peuplé d’un grand nombre de moustiques, pendant 15 minutes, et de capturer chaque moustique dès qu'il se pose sur le mollet pour tenter de le piquer. </w:t>
            </w:r>
          </w:p>
          <w:p>
            <w:pPr>
              <w:pStyle w:val="Normal"/>
              <w:widowControl w:val="false"/>
              <w:suppressAutoHyphens w:val="true"/>
              <w:spacing w:before="0" w:after="160"/>
              <w:ind w:left="0" w:hanging="0"/>
              <w:jc w:val="left"/>
              <w:rPr>
                <w:rFonts w:cs="Arial"/>
              </w:rPr>
            </w:pPr>
            <w:r>
              <w:rPr>
                <w:rFonts w:eastAsia="Calibri" w:cs="Arial"/>
                <w:kern w:val="0"/>
                <w:lang w:val="fr-FR" w:eastAsia="fr-FR" w:bidi="ar-SA"/>
              </w:rPr>
              <w:t>On peut classer les personnes en 3 catégories en fonction de leur pouvoir d’attractivité vis-à-vis des moustiques :</w:t>
            </w:r>
          </w:p>
          <w:p>
            <w:pPr>
              <w:pStyle w:val="Normal"/>
              <w:widowControl w:val="false"/>
              <w:suppressAutoHyphens w:val="true"/>
              <w:spacing w:lineRule="auto" w:line="240" w:before="0" w:after="0"/>
              <w:ind w:left="0" w:hanging="0"/>
              <w:jc w:val="left"/>
              <w:rPr>
                <w:rFonts w:cs="Arial"/>
              </w:rPr>
            </w:pPr>
            <w:r>
              <w:rPr>
                <w:rFonts w:eastAsia="Calibri" w:cs="Arial"/>
                <w:kern w:val="0"/>
                <w:lang w:val="fr-FR" w:eastAsia="fr-FR" w:bidi="ar-SA"/>
              </w:rPr>
              <w:t xml:space="preserve">• </w:t>
            </w:r>
            <w:r>
              <w:rPr>
                <w:rFonts w:eastAsia="Calibri" w:cs="Arial"/>
                <w:kern w:val="0"/>
                <w:lang w:val="fr-FR" w:eastAsia="fr-FR" w:bidi="ar-SA"/>
              </w:rPr>
              <w:t>Attractivité faible : une personne subit de 1 à 9 tentatives de piqûres en 15 minutes ;</w:t>
            </w:r>
          </w:p>
          <w:p>
            <w:pPr>
              <w:pStyle w:val="Normal"/>
              <w:widowControl w:val="false"/>
              <w:suppressAutoHyphens w:val="true"/>
              <w:spacing w:lineRule="auto" w:line="240" w:before="0" w:after="0"/>
              <w:ind w:left="0" w:hanging="0"/>
              <w:jc w:val="left"/>
              <w:rPr>
                <w:rFonts w:cs="Arial"/>
              </w:rPr>
            </w:pPr>
            <w:r>
              <w:rPr>
                <w:rFonts w:eastAsia="Calibri" w:cs="Arial"/>
                <w:kern w:val="0"/>
                <w:lang w:val="fr-FR" w:eastAsia="fr-FR" w:bidi="ar-SA"/>
              </w:rPr>
              <w:t xml:space="preserve">• </w:t>
            </w:r>
            <w:r>
              <w:rPr>
                <w:rFonts w:eastAsia="Calibri" w:cs="Arial"/>
                <w:kern w:val="0"/>
                <w:lang w:val="fr-FR" w:eastAsia="fr-FR" w:bidi="ar-SA"/>
              </w:rPr>
              <w:t xml:space="preserve">Attractivité moyenne : une personne subit de 10 à 20 tentatives de piqûres en 15 minutes ; </w:t>
            </w:r>
          </w:p>
          <w:p>
            <w:pPr>
              <w:pStyle w:val="Normal"/>
              <w:widowControl w:val="false"/>
              <w:suppressAutoHyphens w:val="true"/>
              <w:spacing w:lineRule="auto" w:line="240" w:before="0" w:after="0"/>
              <w:ind w:left="0" w:hanging="0"/>
              <w:jc w:val="left"/>
              <w:rPr>
                <w:rFonts w:cs="Arial"/>
                <w:b/>
                <w:b/>
                <w:bCs/>
              </w:rPr>
            </w:pPr>
            <w:r>
              <w:rPr>
                <w:rFonts w:eastAsia="Calibri" w:cs="Arial"/>
                <w:kern w:val="0"/>
                <w:lang w:val="fr-FR" w:eastAsia="fr-FR" w:bidi="ar-SA"/>
              </w:rPr>
              <w:t xml:space="preserve">• </w:t>
            </w:r>
            <w:r>
              <w:rPr>
                <w:rFonts w:eastAsia="Calibri" w:cs="Arial"/>
                <w:kern w:val="0"/>
                <w:lang w:val="fr-FR" w:eastAsia="fr-FR" w:bidi="ar-SA"/>
              </w:rPr>
              <w:t>Attractivité élevée : une personne subit plus de 20 tentatives de piqûres en 15 minutes.</w:t>
            </w:r>
          </w:p>
        </w:tc>
      </w:tr>
    </w:tbl>
    <w:p>
      <w:pPr>
        <w:pStyle w:val="Normal"/>
        <w:jc w:val="center"/>
        <w:rPr>
          <w:rFonts w:cs="Arial"/>
          <w:b/>
          <w:b/>
          <w:bCs/>
        </w:rPr>
      </w:pPr>
      <w:r>
        <w:rPr>
          <w:rFonts w:cs="Arial"/>
          <w:b/>
          <w:bCs/>
        </w:rPr>
      </w:r>
    </w:p>
    <w:tbl>
      <w:tblPr>
        <w:tblStyle w:val="Grilledutableau"/>
        <w:tblW w:w="1012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124"/>
      </w:tblGrid>
      <w:tr>
        <w:trPr>
          <w:trHeight w:val="9352" w:hRule="atLeast"/>
        </w:trPr>
        <w:tc>
          <w:tcPr>
            <w:tcW w:w="10124" w:type="dxa"/>
            <w:tcBorders/>
          </w:tcPr>
          <w:p>
            <w:pPr>
              <w:pStyle w:val="Normal"/>
              <w:widowControl w:val="false"/>
              <w:suppressAutoHyphens w:val="true"/>
              <w:spacing w:before="0" w:after="160"/>
              <w:ind w:left="0" w:hanging="0"/>
              <w:jc w:val="left"/>
              <w:rPr>
                <w:rFonts w:cs="Arial"/>
                <w:b/>
                <w:b/>
                <w:bCs/>
              </w:rPr>
            </w:pPr>
            <w:r>
              <w:rPr>
                <w:rFonts w:eastAsia="Calibri" w:cs="Arial"/>
                <w:b/>
                <w:bCs/>
                <w:kern w:val="0"/>
                <w:lang w:val="fr-FR" w:eastAsia="fr-FR" w:bidi="ar-SA"/>
              </w:rPr>
              <w:t>Document 2 : un traitement homéopathique pour éloigner les moustiques</w:t>
            </w:r>
          </w:p>
          <w:p>
            <w:pPr>
              <w:pStyle w:val="Normal"/>
              <w:widowControl w:val="false"/>
              <w:suppressAutoHyphens w:val="true"/>
              <w:spacing w:before="0" w:after="160"/>
              <w:ind w:left="0" w:hanging="0"/>
              <w:jc w:val="both"/>
              <w:rPr>
                <w:rFonts w:cs="Arial"/>
              </w:rPr>
            </w:pPr>
            <w:r>
              <w:rPr>
                <w:rFonts w:eastAsia="Calibri" w:cs="Arial"/>
                <w:kern w:val="0"/>
                <w:lang w:val="fr-FR" w:eastAsia="fr-FR" w:bidi="ar-SA"/>
              </w:rPr>
              <w:t>En Camargue (dans le sud de la France), pendant l’été 2014, deux groupes de volontaires ayant la même attractivité vis-à-vis des moustiques ont accepté de tester l'efficacité du traitement : juste avant l’expérience, les membres du premier groupe ont reçu le traitement homéopathique, les membres du second groupe un placébo (constituant le groupe témoin).</w:t>
            </w:r>
          </w:p>
          <w:p>
            <w:pPr>
              <w:pStyle w:val="ListParagraph"/>
              <w:widowControl w:val="false"/>
              <w:suppressAutoHyphens w:val="true"/>
              <w:spacing w:before="0" w:after="160"/>
              <w:ind w:left="0" w:hanging="0"/>
              <w:contextualSpacing/>
              <w:jc w:val="center"/>
              <w:rPr>
                <w:rFonts w:cs="Arial"/>
                <w:u w:val="single"/>
              </w:rPr>
            </w:pPr>
            <w:r>
              <w:rPr>
                <w:rFonts w:cs="Arial"/>
                <w:u w:val="single"/>
              </w:rPr>
            </w:r>
          </w:p>
          <w:p>
            <w:pPr>
              <w:pStyle w:val="ListParagraph"/>
              <w:widowControl w:val="false"/>
              <w:suppressAutoHyphens w:val="true"/>
              <w:spacing w:before="0" w:after="160"/>
              <w:ind w:left="0" w:hanging="0"/>
              <w:contextualSpacing/>
              <w:jc w:val="center"/>
              <w:rPr>
                <w:rFonts w:cs="Arial"/>
              </w:rPr>
            </w:pPr>
            <w:r>
              <w:rPr>
                <w:rFonts w:eastAsia="Calibri" w:cs="Arial"/>
                <w:kern w:val="0"/>
                <w:u w:val="single"/>
                <w:lang w:val="fr-FR" w:eastAsia="fr-FR" w:bidi="ar-SA"/>
              </w:rPr>
              <w:t>Résultats du test du mollet sur les deux groupes de volontaires</w:t>
            </w:r>
            <w:r>
              <w:rPr>
                <w:rFonts w:eastAsia="Calibri" w:cs="Arial"/>
                <w:kern w:val="0"/>
                <w:lang w:val="fr-FR" w:eastAsia="fr-FR" w:bidi="ar-SA"/>
              </w:rPr>
              <w:t xml:space="preserve">  </w:t>
            </w:r>
          </w:p>
          <w:p>
            <w:pPr>
              <w:pStyle w:val="ListParagraph"/>
              <w:widowControl w:val="false"/>
              <w:suppressAutoHyphens w:val="true"/>
              <w:spacing w:before="0" w:after="160"/>
              <w:ind w:left="0" w:hanging="0"/>
              <w:contextualSpacing/>
              <w:jc w:val="both"/>
              <w:rPr>
                <w:rFonts w:cs="Arial"/>
              </w:rPr>
            </w:pPr>
            <w:r>
              <w:rPr>
                <w:rFonts w:eastAsia="Calibri" w:cs="Arial"/>
                <w:kern w:val="0"/>
                <w:lang w:val="fr-FR" w:eastAsia="fr-FR" w:bidi="ar-SA"/>
              </w:rPr>
              <w:t>Les sujets qualifiés de « traités » ont reçu le traitement homéopathique, les sujets « non traités » le placébo. (Les barres verticales indiquent les intervalles de confiance à 95 %)</w:t>
            </w:r>
          </w:p>
          <w:p>
            <w:pPr>
              <w:pStyle w:val="ListParagraph"/>
              <w:widowControl w:val="false"/>
              <w:suppressAutoHyphens w:val="true"/>
              <w:spacing w:before="0" w:after="160"/>
              <w:contextualSpacing/>
              <w:jc w:val="center"/>
              <w:rPr>
                <w:rFonts w:cs="Arial"/>
              </w:rPr>
            </w:pPr>
            <w:r>
              <mc:AlternateContent>
                <mc:Choice Requires="wps">
                  <w:drawing>
                    <wp:anchor behindDoc="0" distT="5080" distB="13335" distL="635" distR="5080" simplePos="0" locked="0" layoutInCell="0" allowOverlap="1" relativeHeight="6" wp14:anchorId="5C2E1856">
                      <wp:simplePos x="0" y="0"/>
                      <wp:positionH relativeFrom="column">
                        <wp:posOffset>3054350</wp:posOffset>
                      </wp:positionH>
                      <wp:positionV relativeFrom="paragraph">
                        <wp:posOffset>306705</wp:posOffset>
                      </wp:positionV>
                      <wp:extent cx="841375" cy="278130"/>
                      <wp:effectExtent l="635" t="5080" r="5080" b="13335"/>
                      <wp:wrapNone/>
                      <wp:docPr id="1" name="Connecteur droit avec flèche 10"/>
                      <a:graphic xmlns:a="http://schemas.openxmlformats.org/drawingml/2006/main">
                        <a:graphicData uri="http://schemas.microsoft.com/office/word/2010/wordprocessingShape">
                          <wps:wsp>
                            <wps:cNvSpPr/>
                            <wps:spPr>
                              <a:xfrm flipH="1">
                                <a:off x="0" y="0"/>
                                <a:ext cx="841320" cy="278280"/>
                              </a:xfrm>
                              <a:prstGeom prst="straightConnector1">
                                <a:avLst/>
                              </a:prstGeom>
                              <a:noFill/>
                              <a:ln>
                                <a:solidFill>
                                  <a:srgbClr val="ff0000"/>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necteur droit avec flèche 10" stroked="t" o:allowincell="f" style="position:absolute;margin-left:240.5pt;margin-top:24.15pt;width:66.2pt;height:21.85pt;flip:x;mso-wrap-style:none;v-text-anchor:middle" wp14:anchorId="5C2E1856" type="_x0000_t32">
                      <v:fill o:detectmouseclick="t" on="false"/>
                      <v:stroke color="red" weight="9360" endarrow="block" endarrowwidth="medium" endarrowlength="medium" joinstyle="round" endcap="flat"/>
                      <w10:wrap type="none"/>
                    </v:shape>
                  </w:pict>
                </mc:Fallback>
              </mc:AlternateContent>
              <mc:AlternateContent>
                <mc:Choice Requires="wps">
                  <w:drawing>
                    <wp:anchor behindDoc="0" distT="5080" distB="0" distL="635" distR="5080" simplePos="0" locked="0" layoutInCell="0" allowOverlap="1" relativeHeight="7" wp14:anchorId="4142D2BE">
                      <wp:simplePos x="0" y="0"/>
                      <wp:positionH relativeFrom="column">
                        <wp:posOffset>3119120</wp:posOffset>
                      </wp:positionH>
                      <wp:positionV relativeFrom="paragraph">
                        <wp:posOffset>438150</wp:posOffset>
                      </wp:positionV>
                      <wp:extent cx="775335" cy="490220"/>
                      <wp:effectExtent l="635" t="5080" r="5080" b="0"/>
                      <wp:wrapNone/>
                      <wp:docPr id="2" name="Connecteur droit avec flèche 11"/>
                      <a:graphic xmlns:a="http://schemas.openxmlformats.org/drawingml/2006/main">
                        <a:graphicData uri="http://schemas.microsoft.com/office/word/2010/wordprocessingShape">
                          <wps:wsp>
                            <wps:cNvSpPr/>
                            <wps:spPr>
                              <a:xfrm flipH="1">
                                <a:off x="0" y="0"/>
                                <a:ext cx="775440" cy="490320"/>
                              </a:xfrm>
                              <a:prstGeom prst="straightConnector1">
                                <a:avLst/>
                              </a:prstGeom>
                              <a:noFill/>
                              <a:ln>
                                <a:solidFill>
                                  <a:srgbClr val="00b050"/>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11" stroked="t" o:allowincell="f" style="position:absolute;margin-left:245.6pt;margin-top:34.5pt;width:61pt;height:38.55pt;flip:x;mso-wrap-style:none;v-text-anchor:middle" wp14:anchorId="4142D2BE" type="_x0000_t32">
                      <v:fill o:detectmouseclick="t" on="false"/>
                      <v:stroke color="#00b050" weight="9360" endarrow="block" endarrowwidth="medium" endarrowlength="medium" joinstyle="round" endcap="flat"/>
                      <w10:wrap type="none"/>
                    </v:shape>
                  </w:pict>
                </mc:Fallback>
              </mc:AlternateContent>
            </w:r>
            <w:r>
              <w:rPr/>
              <w:drawing>
                <wp:inline distT="0" distB="0" distL="0" distR="0">
                  <wp:extent cx="4166870" cy="3190875"/>
                  <wp:effectExtent l="0" t="0" r="0" b="0"/>
                  <wp:docPr id="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
                          <pic:cNvPicPr>
                            <a:picLocks noChangeAspect="1" noChangeArrowheads="1"/>
                          </pic:cNvPicPr>
                        </pic:nvPicPr>
                        <pic:blipFill>
                          <a:blip r:embed="rId2"/>
                          <a:stretch>
                            <a:fillRect/>
                          </a:stretch>
                        </pic:blipFill>
                        <pic:spPr bwMode="auto">
                          <a:xfrm>
                            <a:off x="0" y="0"/>
                            <a:ext cx="4166870" cy="3190875"/>
                          </a:xfrm>
                          <a:prstGeom prst="rect">
                            <a:avLst/>
                          </a:prstGeom>
                        </pic:spPr>
                      </pic:pic>
                    </a:graphicData>
                  </a:graphic>
                </wp:inline>
              </w:drawing>
            </w:r>
            <w:r>
              <w:rPr>
                <w:rFonts w:eastAsia="Calibri" w:cs="Arial"/>
                <w:kern w:val="0"/>
                <w:lang w:val="fr-FR" w:eastAsia="fr-FR" w:bidi="ar-SA"/>
              </w:rPr>
              <w:t xml:space="preserve"> </w:t>
            </w:r>
          </w:p>
          <w:p>
            <w:pPr>
              <w:pStyle w:val="ListParagraph"/>
              <w:widowControl w:val="false"/>
              <w:suppressAutoHyphens w:val="true"/>
              <w:spacing w:before="0" w:after="160"/>
              <w:contextualSpacing/>
              <w:jc w:val="right"/>
              <w:rPr>
                <w:rFonts w:cs="Arial"/>
              </w:rPr>
            </w:pPr>
            <w:r>
              <w:rPr>
                <w:rFonts w:eastAsia="Calibri" w:cs="Arial"/>
                <w:kern w:val="0"/>
                <w:lang w:val="fr-FR" w:eastAsia="fr-FR" w:bidi="ar-SA"/>
              </w:rPr>
              <w:t>D’après le site du parc de Camargue</w:t>
            </w:r>
          </w:p>
        </w:tc>
      </w:tr>
    </w:tbl>
    <w:p>
      <w:pPr>
        <w:pStyle w:val="Normal"/>
        <w:spacing w:lineRule="auto" w:line="240" w:before="0" w:after="0"/>
        <w:ind w:left="0" w:hanging="0"/>
        <w:rPr>
          <w:rFonts w:cs="Arial"/>
          <w:b/>
          <w:b/>
          <w:bCs/>
        </w:rPr>
      </w:pPr>
      <w:r>
        <w:rPr>
          <w:rFonts w:cs="Arial"/>
          <w:b/>
          <w:bCs/>
        </w:rPr>
      </w:r>
      <w:r>
        <w:br w:type="page"/>
      </w:r>
    </w:p>
    <w:p>
      <w:pPr>
        <w:pStyle w:val="Normal"/>
        <w:spacing w:lineRule="auto" w:line="240" w:before="0" w:after="0"/>
        <w:ind w:left="0" w:hanging="0"/>
        <w:rPr>
          <w:rFonts w:cs="Arial"/>
          <w:b/>
          <w:b/>
          <w:bCs/>
        </w:rPr>
      </w:pPr>
      <w:r>
        <w:rPr>
          <w:rFonts w:cs="Arial"/>
          <w:b/>
          <w:bCs/>
        </w:rPr>
      </w:r>
    </w:p>
    <w:tbl>
      <w:tblPr>
        <w:tblStyle w:val="Grilledutableau"/>
        <w:tblW w:w="906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65"/>
      </w:tblGrid>
      <w:tr>
        <w:trPr/>
        <w:tc>
          <w:tcPr>
            <w:tcW w:w="9065" w:type="dxa"/>
            <w:tcBorders/>
          </w:tcPr>
          <w:p>
            <w:pPr>
              <w:pStyle w:val="Normal"/>
              <w:widowControl w:val="false"/>
              <w:suppressAutoHyphens w:val="true"/>
              <w:spacing w:before="0" w:after="160"/>
              <w:ind w:left="0" w:hanging="0"/>
              <w:jc w:val="left"/>
              <w:rPr>
                <w:rFonts w:cs="Arial"/>
              </w:rPr>
            </w:pPr>
            <w:r>
              <w:rPr>
                <w:rFonts w:eastAsia="Calibri" w:cs="Arial"/>
                <w:b/>
                <w:bCs/>
                <w:kern w:val="0"/>
                <w:lang w:val="fr-FR" w:eastAsia="fr-FR" w:bidi="ar-SA"/>
              </w:rPr>
              <w:t>Document 3 : une méthode utilisant des pièges à CO</w:t>
            </w:r>
            <w:r>
              <w:rPr>
                <w:rFonts w:eastAsia="Calibri" w:cs="Arial"/>
                <w:b/>
                <w:bCs/>
                <w:kern w:val="0"/>
                <w:vertAlign w:val="subscript"/>
                <w:lang w:val="fr-FR" w:eastAsia="fr-FR" w:bidi="ar-SA"/>
              </w:rPr>
              <w:t>2</w:t>
            </w:r>
            <w:r>
              <w:rPr>
                <w:rFonts w:eastAsia="Calibri" w:cs="Arial"/>
                <w:b/>
                <w:kern w:val="0"/>
                <w:lang w:val="fr-FR" w:eastAsia="fr-FR" w:bidi="ar-SA"/>
              </w:rPr>
              <w:t>.</w:t>
            </w:r>
          </w:p>
          <w:p>
            <w:pPr>
              <w:pStyle w:val="Normal"/>
              <w:widowControl w:val="false"/>
              <w:suppressAutoHyphens w:val="true"/>
              <w:spacing w:before="0" w:after="160"/>
              <w:ind w:left="0" w:hanging="0"/>
              <w:jc w:val="both"/>
              <w:rPr>
                <w:rFonts w:cs="Arial"/>
              </w:rPr>
            </w:pPr>
            <w:r>
              <w:rPr>
                <w:rFonts w:eastAsia="Calibri" w:cs="Arial"/>
                <w:kern w:val="0"/>
                <w:lang w:val="fr-FR" w:eastAsia="fr-FR" w:bidi="ar-SA"/>
              </w:rPr>
              <w:t>Les pièges à dioxyde de carbone (CO</w:t>
            </w:r>
            <w:r>
              <w:rPr>
                <w:rFonts w:eastAsia="Calibri" w:cs="Arial"/>
                <w:kern w:val="0"/>
                <w:vertAlign w:val="subscript"/>
                <w:lang w:val="fr-FR" w:eastAsia="fr-FR" w:bidi="ar-SA"/>
              </w:rPr>
              <w:t>2</w:t>
            </w:r>
            <w:r>
              <w:rPr>
                <w:rFonts w:eastAsia="Calibri" w:cs="Arial"/>
                <w:kern w:val="0"/>
                <w:lang w:val="fr-FR" w:eastAsia="fr-FR" w:bidi="ar-SA"/>
              </w:rPr>
              <w:t>)</w:t>
            </w:r>
            <w:r>
              <w:rPr>
                <w:rFonts w:eastAsia="Calibri" w:cs="Arial"/>
                <w:kern w:val="0"/>
                <w:vertAlign w:val="subscript"/>
                <w:lang w:val="fr-FR" w:eastAsia="fr-FR" w:bidi="ar-SA"/>
              </w:rPr>
              <w:t xml:space="preserve"> </w:t>
            </w:r>
            <w:r>
              <w:rPr>
                <w:rFonts w:eastAsia="Calibri" w:cs="Arial"/>
                <w:kern w:val="0"/>
                <w:lang w:val="fr-FR" w:eastAsia="fr-FR" w:bidi="ar-SA"/>
              </w:rPr>
              <w:t>sont constitués d’un diffuseur de CO</w:t>
            </w:r>
            <w:r>
              <w:rPr>
                <w:rFonts w:eastAsia="Calibri" w:cs="Arial"/>
                <w:kern w:val="0"/>
                <w:vertAlign w:val="subscript"/>
                <w:lang w:val="fr-FR" w:eastAsia="fr-FR" w:bidi="ar-SA"/>
              </w:rPr>
              <w:t xml:space="preserve">2 </w:t>
            </w:r>
            <w:r>
              <w:rPr>
                <w:rFonts w:eastAsia="Calibri" w:cs="Arial"/>
                <w:kern w:val="0"/>
                <w:lang w:val="fr-FR" w:eastAsia="fr-FR" w:bidi="ar-SA"/>
              </w:rPr>
              <w:t>et d’une cuve. Les moustiques qui entrent dans la cuve sont piégés. Des groupes de volontaires ayant la même attractivité vis-à-vis des moustiques, sont constitués : pour chaque type d’attractivité, l’un des groupes est placé à proximité d’un piège à CO</w:t>
            </w:r>
            <w:r>
              <w:rPr>
                <w:rFonts w:eastAsia="Calibri" w:cs="Arial"/>
                <w:kern w:val="0"/>
                <w:vertAlign w:val="subscript"/>
                <w:lang w:val="fr-FR" w:eastAsia="fr-FR" w:bidi="ar-SA"/>
              </w:rPr>
              <w:t>2</w:t>
            </w:r>
            <w:r>
              <w:rPr>
                <w:rFonts w:eastAsia="Calibri" w:cs="Arial"/>
                <w:kern w:val="0"/>
                <w:lang w:val="fr-FR" w:eastAsia="fr-FR" w:bidi="ar-SA"/>
              </w:rPr>
              <w:t xml:space="preserve">, l’autre dans une zone sans piège.   </w:t>
            </w:r>
          </w:p>
          <w:p>
            <w:pPr>
              <w:pStyle w:val="ListParagraph"/>
              <w:widowControl w:val="false"/>
              <w:suppressAutoHyphens w:val="true"/>
              <w:spacing w:before="0" w:after="160"/>
              <w:contextualSpacing/>
              <w:jc w:val="center"/>
              <w:rPr>
                <w:rFonts w:cs="Arial"/>
                <w:u w:val="single"/>
              </w:rPr>
            </w:pPr>
            <w:r>
              <w:rPr>
                <w:rFonts w:eastAsia="Calibri" w:cs="Arial"/>
                <w:kern w:val="0"/>
                <w:u w:val="single"/>
                <w:lang w:val="fr-FR" w:eastAsia="fr-FR" w:bidi="ar-SA"/>
              </w:rPr>
              <w:t xml:space="preserve">Résultats du test du mollet sur les différents groupes de volontaires </w:t>
            </w:r>
          </w:p>
          <w:p>
            <w:pPr>
              <w:pStyle w:val="ListParagraph"/>
              <w:widowControl w:val="false"/>
              <w:suppressAutoHyphens w:val="true"/>
              <w:spacing w:before="0" w:after="160"/>
              <w:contextualSpacing/>
              <w:jc w:val="center"/>
              <w:rPr>
                <w:rFonts w:cs="Arial"/>
              </w:rPr>
            </w:pPr>
            <w:r>
              <w:rPr>
                <w:rFonts w:eastAsia="Calibri" w:cs="Arial"/>
                <w:kern w:val="0"/>
                <w:lang w:val="fr-FR" w:eastAsia="fr-FR" w:bidi="ar-SA"/>
              </w:rPr>
              <w:t xml:space="preserve">(Les barres verticales indiquent les intervalles de confiance à 95 %) </w:t>
            </w:r>
          </w:p>
          <w:p>
            <w:pPr>
              <w:pStyle w:val="Normal"/>
              <w:widowControl w:val="false"/>
              <w:suppressAutoHyphens w:val="true"/>
              <w:spacing w:before="0" w:after="160"/>
              <w:jc w:val="center"/>
              <w:rPr>
                <w:rFonts w:cs="Arial"/>
              </w:rPr>
            </w:pPr>
            <w:r>
              <w:rPr/>
              <mc:AlternateContent>
                <mc:Choice Requires="wps">
                  <w:drawing>
                    <wp:anchor behindDoc="0" distT="5715" distB="4445" distL="5080" distR="635" simplePos="0" locked="0" layoutInCell="0" allowOverlap="1" relativeHeight="4" wp14:anchorId="4C532875">
                      <wp:simplePos x="0" y="0"/>
                      <wp:positionH relativeFrom="column">
                        <wp:posOffset>2534920</wp:posOffset>
                      </wp:positionH>
                      <wp:positionV relativeFrom="paragraph">
                        <wp:posOffset>328295</wp:posOffset>
                      </wp:positionV>
                      <wp:extent cx="1550670" cy="680085"/>
                      <wp:effectExtent l="5080" t="5715" r="635" b="4445"/>
                      <wp:wrapNone/>
                      <wp:docPr id="4" name="Connecteur droit avec flèche 3"/>
                      <a:graphic xmlns:a="http://schemas.openxmlformats.org/drawingml/2006/main">
                        <a:graphicData uri="http://schemas.microsoft.com/office/word/2010/wordprocessingShape">
                          <wps:wsp>
                            <wps:cNvSpPr/>
                            <wps:spPr>
                              <a:xfrm>
                                <a:off x="0" y="0"/>
                                <a:ext cx="1550520" cy="680040"/>
                              </a:xfrm>
                              <a:prstGeom prst="straightConnector1">
                                <a:avLst/>
                              </a:prstGeom>
                              <a:noFill/>
                              <a:ln>
                                <a:solidFill>
                                  <a:srgbClr val="ff0000"/>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3" stroked="t" o:allowincell="f" style="position:absolute;margin-left:199.6pt;margin-top:25.85pt;width:122.05pt;height:53.5pt;mso-wrap-style:none;v-text-anchor:middle" wp14:anchorId="4C532875" type="_x0000_t32">
                      <v:fill o:detectmouseclick="t" on="false"/>
                      <v:stroke color="red" weight="9360" endarrow="block" endarrowwidth="medium" endarrowlength="medium" joinstyle="round" endcap="flat"/>
                      <w10:wrap type="none"/>
                    </v:shape>
                  </w:pict>
                </mc:Fallback>
              </mc:AlternateContent>
              <mc:AlternateContent>
                <mc:Choice Requires="wps">
                  <w:drawing>
                    <wp:anchor behindDoc="0" distT="5715" distB="635" distL="5715" distR="0" simplePos="0" locked="0" layoutInCell="0" allowOverlap="1" relativeHeight="5" wp14:anchorId="7A03CAFB">
                      <wp:simplePos x="0" y="0"/>
                      <wp:positionH relativeFrom="column">
                        <wp:posOffset>2564130</wp:posOffset>
                      </wp:positionH>
                      <wp:positionV relativeFrom="paragraph">
                        <wp:posOffset>628015</wp:posOffset>
                      </wp:positionV>
                      <wp:extent cx="1331595" cy="1536065"/>
                      <wp:effectExtent l="5715" t="5715" r="0" b="635"/>
                      <wp:wrapNone/>
                      <wp:docPr id="5" name="Connecteur droit avec flèche 9"/>
                      <a:graphic xmlns:a="http://schemas.openxmlformats.org/drawingml/2006/main">
                        <a:graphicData uri="http://schemas.microsoft.com/office/word/2010/wordprocessingShape">
                          <wps:wsp>
                            <wps:cNvSpPr/>
                            <wps:spPr>
                              <a:xfrm>
                                <a:off x="0" y="0"/>
                                <a:ext cx="1331640" cy="1536120"/>
                              </a:xfrm>
                              <a:prstGeom prst="straightConnector1">
                                <a:avLst/>
                              </a:prstGeom>
                              <a:noFill/>
                              <a:ln>
                                <a:solidFill>
                                  <a:srgbClr val="00b050"/>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9" stroked="t" o:allowincell="f" style="position:absolute;margin-left:201.9pt;margin-top:49.45pt;width:104.8pt;height:120.9pt;mso-wrap-style:none;v-text-anchor:middle" wp14:anchorId="7A03CAFB" type="_x0000_t32">
                      <v:fill o:detectmouseclick="t" on="false"/>
                      <v:stroke color="#00b050" weight="9360" endarrow="block" endarrowwidth="medium" endarrowlength="medium" joinstyle="round" endcap="flat"/>
                      <w10:wrap type="none"/>
                    </v:shape>
                  </w:pict>
                </mc:Fallback>
              </mc:AlternateContent>
              <w:drawing>
                <wp:inline distT="0" distB="0" distL="0" distR="0">
                  <wp:extent cx="4293870" cy="3276600"/>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3"/>
                          <a:stretch>
                            <a:fillRect/>
                          </a:stretch>
                        </pic:blipFill>
                        <pic:spPr bwMode="auto">
                          <a:xfrm>
                            <a:off x="0" y="0"/>
                            <a:ext cx="4293870" cy="3276600"/>
                          </a:xfrm>
                          <a:prstGeom prst="rect">
                            <a:avLst/>
                          </a:prstGeom>
                        </pic:spPr>
                      </pic:pic>
                    </a:graphicData>
                  </a:graphic>
                </wp:inline>
              </w:drawing>
            </w:r>
          </w:p>
          <w:p>
            <w:pPr>
              <w:pStyle w:val="Normal"/>
              <w:widowControl w:val="false"/>
              <w:suppressAutoHyphens w:val="true"/>
              <w:spacing w:before="0" w:after="160"/>
              <w:jc w:val="right"/>
              <w:rPr>
                <w:rFonts w:cs="Arial"/>
                <w:color w:val="0000FF"/>
                <w:u w:val="single"/>
              </w:rPr>
            </w:pPr>
            <w:r>
              <w:rPr>
                <w:rFonts w:cs="Arial"/>
                <w:color w:val="0000FF"/>
                <w:u w:val="single"/>
              </w:rPr>
            </w:r>
          </w:p>
          <w:p>
            <w:pPr>
              <w:pStyle w:val="Normal"/>
              <w:widowControl w:val="false"/>
              <w:suppressAutoHyphens w:val="true"/>
              <w:spacing w:before="0" w:after="160"/>
              <w:jc w:val="right"/>
              <w:rPr>
                <w:rFonts w:cs="Arial"/>
                <w:color w:val="0000FF"/>
                <w:u w:val="single"/>
              </w:rPr>
            </w:pPr>
            <w:r>
              <w:rPr>
                <w:rFonts w:eastAsia="Calibri" w:cs="Arial"/>
                <w:kern w:val="0"/>
                <w:lang w:val="fr-FR" w:eastAsia="fr-FR" w:bidi="ar-SA"/>
              </w:rPr>
              <w:t xml:space="preserve">D’après le site du parc de Camargue </w:t>
            </w:r>
          </w:p>
        </w:tc>
      </w:tr>
    </w:tbl>
    <w:p>
      <w:pPr>
        <w:pStyle w:val="Normal"/>
        <w:jc w:val="center"/>
        <w:rPr>
          <w:rFonts w:cs="Arial"/>
        </w:rPr>
      </w:pPr>
      <w:r>
        <w:rPr>
          <w:rFonts w:cs="Arial"/>
        </w:rPr>
      </w:r>
    </w:p>
    <w:p>
      <w:pPr>
        <w:pStyle w:val="Normal"/>
        <w:spacing w:before="0" w:after="160"/>
        <w:ind w:left="0" w:hanging="0"/>
        <w:jc w:val="both"/>
        <w:rPr>
          <w:rFonts w:cs="Arial"/>
          <w:b/>
          <w:b/>
          <w:bCs/>
        </w:rPr>
      </w:pPr>
      <w:r>
        <w:rPr>
          <w:rFonts w:cs="Arial"/>
          <w:b/>
          <w:bCs/>
        </w:rPr>
        <w:t xml:space="preserve">4- </w:t>
      </w:r>
      <w:r>
        <w:rPr>
          <w:rFonts w:cs="Arial"/>
        </w:rPr>
        <w:t>En vous appuyant sur l’étude des documents 2 et 3, comparer l’efficacité de chacune des deux méthodes (traitement homéopathique et piège à CO</w:t>
      </w:r>
      <w:r>
        <w:rPr>
          <w:rFonts w:cs="Arial"/>
          <w:vertAlign w:val="subscript"/>
        </w:rPr>
        <w:t>2</w:t>
      </w:r>
      <w:r>
        <w:rPr>
          <w:rFonts w:cs="Arial"/>
        </w:rPr>
        <w:t>) comme moyen de protection contre la dengue.</w:t>
      </w:r>
      <w:r>
        <w:rPr>
          <w:rFonts w:cs="Arial"/>
          <w:b/>
          <w:bCs/>
        </w:rPr>
        <w:t xml:space="preserve"> </w:t>
      </w:r>
    </w:p>
    <w:sectPr>
      <w:headerReference w:type="default" r:id="rId4"/>
      <w:footerReference w:type="default" r:id="rId5"/>
      <w:type w:val="nextPage"/>
      <w:pgSz w:w="11906" w:h="16838"/>
      <w:pgMar w:left="851" w:right="851" w:gutter="0" w:header="851" w:top="1432" w:footer="851" w:bottom="141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center"/>
      <w:rPr>
        <w:color w:val="666666"/>
      </w:rPr>
    </w:pPr>
    <w:r>
      <w:rPr>
        <w:color w:val="666666"/>
      </w:rPr>
      <w:fldChar w:fldCharType="begin"/>
    </w:r>
    <w:r>
      <w:rPr>
        <w:color w:val="666666"/>
      </w:rPr>
      <w:instrText xml:space="preserve"> PAGE </w:instrText>
    </w:r>
    <w:r>
      <w:rPr>
        <w:color w:val="666666"/>
      </w:rPr>
      <w:fldChar w:fldCharType="separate"/>
    </w:r>
    <w:r>
      <w:rPr>
        <w:color w:val="666666"/>
      </w:rPr>
      <w:t>4</w:t>
    </w:r>
    <w:r>
      <w:rPr>
        <w:color w:val="66666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color w:val="666666"/>
      </w:rPr>
    </w:pPr>
    <w:r>
      <w:rPr>
        <w:color w:val="666666"/>
      </w:rPr>
      <w:t xml:space="preserve">Une histoire du vivant – Term - </w:t>
    </w:r>
    <w:r>
      <w:rPr>
        <w:rFonts w:cs="Arial"/>
        <w:color w:val="666666"/>
      </w:rPr>
      <w:t>La dengue, une maladie transmise par les moustiques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suppressAutoHyphens w:val="true"/>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Lien Internet"/>
    <w:uiPriority w:val="99"/>
    <w:unhideWhenUsed/>
    <w:rsid w:val="008d19aa"/>
    <w:rPr>
      <w:color w:val="0000FF"/>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ListParagraph">
    <w:name w:val="List Paragraph"/>
    <w:basedOn w:val="Normal"/>
    <w:uiPriority w:val="34"/>
    <w:qFormat/>
    <w:rsid w:val="00e46a5f"/>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LibreOffice/7.3.1.3$Linux_X86_64 LibreOffice_project/30$Build-3</Application>
  <AppVersion>15.0000</AppVersion>
  <Pages>4</Pages>
  <Words>705</Words>
  <Characters>3516</Characters>
  <CharactersWithSpaces>4191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2021-04-17T06:59:00Z</dcterms:created>
  <dc:creator/>
  <dc:description/>
  <dc:language>fr-FR</dc:language>
  <cp:lastModifiedBy/>
  <dcterms:modified xsi:type="dcterms:W3CDTF">2022-04-12T16:53:47Z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