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jc w:val="center"/>
        <w:rPr/>
      </w:pPr>
      <w:r>
        <w:rPr/>
        <w:t>La lutte contre un ravageur des cultures</w:t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spacing w:lineRule="auto" w:line="276"/>
        <w:ind w:left="0" w:hanging="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highlight w:val="white"/>
        </w:rPr>
        <w:t>L’aleurode du tabac (</w:t>
      </w:r>
      <w:r>
        <w:rPr>
          <w:rFonts w:eastAsia="Times New Roman" w:cs="Arial"/>
          <w:i/>
          <w:iCs/>
          <w:color w:val="000000"/>
          <w:highlight w:val="white"/>
        </w:rPr>
        <w:t xml:space="preserve">Bemisia tabaci) </w:t>
      </w:r>
      <w:r>
        <w:rPr>
          <w:rFonts w:eastAsia="Times New Roman" w:cs="Arial"/>
          <w:color w:val="000000"/>
          <w:highlight w:val="white"/>
        </w:rPr>
        <w:t>est un insecte qui se répand actuellement de manière importante dans de nombreuses régions du monde. Cet insecte suce la sève de plusieurs familles de plantes cultivées : Cucurbitacées, Fabacées, Malvacées ou Liliacées par exemple. Les dégâts occasionnés sont nombreux : déformation des feuilles,</w:t>
      </w:r>
      <w:r>
        <w:rPr>
          <w:rFonts w:eastAsia="Times New Roman" w:cs="Arial"/>
        </w:rPr>
        <w:t xml:space="preserve"> prolifération de champignons ou encore v</w:t>
      </w:r>
      <w:r>
        <w:rPr>
          <w:rFonts w:eastAsia="Times New Roman" w:cs="Arial"/>
          <w:color w:val="000000"/>
          <w:highlight w:val="white"/>
        </w:rPr>
        <w:t>ecteur de virus.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/>
        <w:drawing>
          <wp:inline distT="0" distB="0" distL="0" distR="0">
            <wp:extent cx="1977390" cy="2052320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Aleurodes du tabac adultes, suçant la sève d’une feuille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/>
        </w:rPr>
      </w:pPr>
      <w:r>
        <w:rPr>
          <w:color w:val="000000"/>
        </w:rPr>
        <w:t xml:space="preserve">(taille : </w:t>
      </w:r>
      <w:r>
        <w:rPr>
          <w:rFonts w:eastAsia="Times New Roman" w:cs="Arial"/>
          <w:color w:val="202124"/>
          <w:shd w:fill="FFFFFF" w:val="clear"/>
        </w:rPr>
        <w:t>entre 1 et 3 mm de long)</w:t>
      </w:r>
    </w:p>
    <w:p>
      <w:pPr>
        <w:pStyle w:val="Normal"/>
        <w:spacing w:lineRule="auto" w:line="276" w:before="240" w:after="160"/>
        <w:ind w:left="0" w:hanging="0"/>
        <w:jc w:val="both"/>
        <w:rPr/>
      </w:pPr>
      <w:r>
        <w:rPr>
          <w:rFonts w:eastAsia="Times New Roman" w:cs="Arial"/>
          <w:b/>
          <w:color w:val="000000"/>
        </w:rPr>
        <w:t>1-</w:t>
      </w:r>
      <w:r>
        <w:rPr>
          <w:rFonts w:eastAsia="Times New Roman" w:cs="Arial"/>
          <w:color w:val="000000"/>
        </w:rPr>
        <w:t xml:space="preserve"> À partir des connaissances et du document 1, rédiger un paragraphe argumenté expliquant pourquoi l’aleurode du tabac est qualifié de « ravageur des cultures » et pourquoi la lutte contre ce dernier constitue un enjeu alimentaire et économique à l’échelle mondiale.</w:t>
      </w:r>
    </w:p>
    <w:p>
      <w:pPr>
        <w:pStyle w:val="Normal"/>
        <w:spacing w:lineRule="auto" w:line="240" w:before="0" w:after="0"/>
        <w:ind w:left="0" w:hanging="0"/>
        <w:rPr/>
      </w:pPr>
      <w:r>
        <w:rPr/>
      </w:r>
    </w:p>
    <w:tbl>
      <w:tblPr>
        <w:tblStyle w:val="Grilledutableau"/>
        <w:tblW w:w="10064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4"/>
      </w:tblGrid>
      <w:tr>
        <w:trPr/>
        <w:tc>
          <w:tcPr>
            <w:tcW w:w="100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rFonts w:eastAsia="Times New Roman" w:cs="Arial"/>
                <w:b/>
                <w:b/>
                <w:bCs/>
              </w:rPr>
            </w:pPr>
            <w:r>
              <w:rPr>
                <w:rFonts w:eastAsia="Times New Roman" w:cs="Arial"/>
                <w:b/>
                <w:bCs/>
                <w:kern w:val="0"/>
                <w:u w:val="single"/>
                <w:lang w:val="fr-FR" w:eastAsia="fr-FR" w:bidi="ar-SA"/>
              </w:rPr>
              <w:t>Document 1</w:t>
            </w:r>
            <w:r>
              <w:rPr>
                <w:rFonts w:eastAsia="Times New Roman" w:cs="Arial"/>
                <w:b/>
                <w:bCs/>
                <w:kern w:val="0"/>
                <w:lang w:val="fr-FR" w:eastAsia="fr-FR" w:bidi="ar-SA"/>
              </w:rPr>
              <w:t xml:space="preserve"> : caractéristiques biologiques de quelques plantes cultivées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0"/>
              <w:jc w:val="left"/>
              <w:rPr>
                <w:rFonts w:eastAsia="Times New Roman" w:cs="Arial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60960</wp:posOffset>
                      </wp:positionV>
                      <wp:extent cx="6209030" cy="3118485"/>
                      <wp:effectExtent l="0" t="0" r="0" b="0"/>
                      <wp:wrapSquare wrapText="bothSides"/>
                      <wp:docPr id="2" name="Cadr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8920" cy="3118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9778" w:type="dxa"/>
                                    <w:jc w:val="center"/>
                                    <w:tblInd w:w="0" w:type="dxa"/>
                                    <w:tblLayout w:type="fixed"/>
                                    <w:tblCellMar>
                                      <w:top w:w="55" w:type="dxa"/>
                                      <w:left w:w="55" w:type="dxa"/>
                                      <w:bottom w:w="55" w:type="dxa"/>
                                      <w:right w:w="55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1982"/>
                                    <w:gridCol w:w="1961"/>
                                    <w:gridCol w:w="1311"/>
                                    <w:gridCol w:w="4523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982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b/>
                                            <w:bCs/>
                                          </w:rPr>
                                          <w:t>Nom scientifique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b/>
                                            <w:bCs/>
                                          </w:rPr>
                                          <w:t>Nom commun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1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b/>
                                            <w:bCs/>
                                          </w:rPr>
                                          <w:t>Famille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3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b/>
                                            <w:bCs/>
                                          </w:rPr>
                                          <w:t>Utilisation par les humains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982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i/>
                                            <w:iCs/>
                                          </w:rPr>
                                          <w:t>Gossypium hirsutum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Coton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Malvacée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3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Fibre végétale qui entoure les graines, utilisée pour fabriquer du tissu.</w:t>
                                        </w:r>
                                      </w:p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Culture à forts enjeux économiques, notamment en Afrique et aux USA.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982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i/>
                                            <w:iCs/>
                                          </w:rPr>
                                          <w:t>Vigna unguiculata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Niébé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Fabacée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3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Consommation des graines et gousses.</w:t>
                                        </w:r>
                                      </w:p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Plante traditionnelle à très forte importance alimentaire en Afrique de l’Ouest.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982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  <w:i/>
                                            <w:iCs/>
                                          </w:rPr>
                                          <w:t>Alium cepa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Oignon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1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Liliacée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23" w:type="dxa"/>
                                        <w:tcBorders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Consommation des bulbes.</w:t>
                                        </w:r>
                                      </w:p>
                                      <w:p>
                                        <w:pPr>
                                          <w:pStyle w:val="Contenudetableau"/>
                                          <w:widowControl w:val="false"/>
                                          <w:spacing w:before="0" w:after="0"/>
                                          <w:ind w:left="0"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 w:cs="Arial"/>
                                          </w:rPr>
                                          <w:t>Plante traditionnelle à très forte importance alimentaire dans de nombreuses régions du monde.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decadre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dre1" path="m0,0l-2147483645,0l-2147483645,-2147483646l0,-2147483646xe" fillcolor="white" stroked="f" o:allowincell="t" style="position:absolute;margin-left:1.75pt;margin-top:4.8pt;width:488.85pt;height:245.5pt;mso-wrap-style:none;v-text-anchor:middle;mso-position-horizontal:center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W w:w="9778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982"/>
                              <w:gridCol w:w="1961"/>
                              <w:gridCol w:w="1311"/>
                              <w:gridCol w:w="4523"/>
                            </w:tblGrid>
                            <w:tr>
                              <w:trPr/>
                              <w:tc>
                                <w:tcPr>
                                  <w:tcW w:w="19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</w:rPr>
                                    <w:t>Nom scientifique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</w:rPr>
                                    <w:t>Nom commun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</w:rPr>
                                    <w:t>Famille</w:t>
                                  </w:r>
                                </w:p>
                              </w:tc>
                              <w:tc>
                                <w:tcPr>
                                  <w:tcW w:w="45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bCs/>
                                    </w:rPr>
                                    <w:t>Utilisation par les humains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i/>
                                      <w:iCs/>
                                    </w:rPr>
                                    <w:t>Gossypium hirsutum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Coton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Malvacée</w:t>
                                  </w:r>
                                </w:p>
                              </w:tc>
                              <w:tc>
                                <w:tcPr>
                                  <w:tcW w:w="45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Fibre végétale qui entoure les graines, utilisée pour fabriquer du tissu.</w:t>
                                  </w:r>
                                </w:p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Culture à forts enjeux économiques, notamment en Afrique et aux USA.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i/>
                                      <w:iCs/>
                                    </w:rPr>
                                    <w:t>Vigna unguiculata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Niébé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Fabacée</w:t>
                                  </w:r>
                                </w:p>
                              </w:tc>
                              <w:tc>
                                <w:tcPr>
                                  <w:tcW w:w="45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Consommation des graines et gousses.</w:t>
                                  </w:r>
                                </w:p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Plante traditionnelle à très forte importance alimentaire en Afrique de l’Ouest.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  <w:i/>
                                      <w:iCs/>
                                    </w:rPr>
                                    <w:t>Alium cepa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Oignon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Liliacée</w:t>
                                  </w:r>
                                </w:p>
                              </w:tc>
                              <w:tc>
                                <w:tcPr>
                                  <w:tcW w:w="45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Consommation des bulbes.</w:t>
                                  </w:r>
                                </w:p>
                                <w:p>
                                  <w:pPr>
                                    <w:pStyle w:val="Contenudetableau"/>
                                    <w:widowControl w:val="false"/>
                                    <w:spacing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Arial"/>
                                    </w:rPr>
                                    <w:t>Plante traditionnelle à très forte importance alimentaire dans de nombreuses régions du monde.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Arial" w:cs="Arial"/>
                <w:kern w:val="2"/>
                <w:sz w:val="20"/>
                <w:szCs w:val="20"/>
                <w:lang w:val="fr-FR" w:eastAsia="fr-FR" w:bidi="hi-IN"/>
              </w:rPr>
              <w:t>Source</w:t>
            </w:r>
            <w:r>
              <w:rPr>
                <w:rFonts w:eastAsia="Arial" w:cs="Arial"/>
                <w:kern w:val="0"/>
                <w:sz w:val="20"/>
                <w:szCs w:val="20"/>
                <w:lang w:val="fr-FR" w:eastAsia="fr-FR" w:bidi="ar-SA"/>
              </w:rPr>
              <w:t xml:space="preserve"> : </w:t>
            </w:r>
            <w:r>
              <w:rPr>
                <w:rFonts w:eastAsia="Times New Roman" w:cs="Arial"/>
                <w:kern w:val="0"/>
                <w:sz w:val="20"/>
                <w:szCs w:val="20"/>
                <w:lang w:val="fr-FR" w:eastAsia="fr-FR" w:bidi="ar-SA"/>
              </w:rPr>
              <w:t xml:space="preserve">Bonny et al. (2017). </w:t>
            </w:r>
            <w:r>
              <w:rPr>
                <w:rFonts w:eastAsia="Times New Roman" w:cs="Arial"/>
                <w:i/>
                <w:iCs/>
                <w:kern w:val="0"/>
                <w:sz w:val="20"/>
                <w:szCs w:val="20"/>
                <w:lang w:val="fr-FR" w:eastAsia="fr-FR" w:bidi="ar-SA"/>
              </w:rPr>
              <w:t>Biotechnol. Agron. Soc. Environ.</w:t>
            </w:r>
            <w:r>
              <w:rPr>
                <w:rFonts w:eastAsia="Times New Roman" w:cs="Arial"/>
                <w:kern w:val="0"/>
                <w:sz w:val="20"/>
                <w:szCs w:val="20"/>
                <w:lang w:val="fr-FR" w:eastAsia="fr-FR" w:bidi="ar-SA"/>
              </w:rPr>
              <w:t xml:space="preserve"> 21(4), 288-304.</w:t>
            </w:r>
          </w:p>
        </w:tc>
      </w:tr>
    </w:tbl>
    <w:p>
      <w:pPr>
        <w:pStyle w:val="Normal"/>
        <w:spacing w:lineRule="auto" w:line="276" w:before="240" w:after="160"/>
        <w:ind w:left="0" w:hanging="0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2-</w:t>
      </w:r>
      <w:r>
        <w:rPr>
          <w:rFonts w:eastAsia="Times New Roman" w:cs="Arial"/>
          <w:color w:val="000000"/>
        </w:rPr>
        <w:t xml:space="preserve"> D’après le document 2, comparer le taux de mortalité de l’aleurode du tabac avec une dose de pesticide appliquée de 10 mg/L et de 0,1 mg/L.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33" w:hanging="0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  <w:u w:val="single"/>
        </w:rPr>
        <w:t>Document 2</w:t>
      </w:r>
      <w:r>
        <w:rPr>
          <w:rFonts w:eastAsia="Times New Roman" w:cs="Arial"/>
          <w:b/>
          <w:color w:val="000000"/>
        </w:rPr>
        <w:t xml:space="preserve"> : utilisation du pesticide chlorpyriphos et mortalité de l’aleurode du tabac (</w:t>
      </w:r>
      <w:r>
        <w:rPr>
          <w:rFonts w:eastAsia="Times New Roman" w:cs="Arial"/>
          <w:b/>
          <w:i/>
          <w:iCs/>
          <w:color w:val="000000"/>
        </w:rPr>
        <w:t>Bemisia tabaci</w:t>
      </w:r>
      <w:r>
        <w:rPr>
          <w:rFonts w:eastAsia="Times New Roman" w:cs="Arial"/>
          <w:b/>
          <w:color w:val="000000"/>
        </w:rPr>
        <w:t>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33" w:hanging="0"/>
        <w:jc w:val="center"/>
        <w:rPr/>
      </w:pPr>
      <w:r>
        <w:rPr>
          <w:highlight w:val="white"/>
        </w:rPr>
        <w:t>Les points du graphe représentent les données expérimentales, sur lesquels on a ajouté une courbe de tendance en trait continu.</w:t>
      </w:r>
      <w:r>
        <w:rPr/>
        <mc:AlternateContent>
          <mc:Choice Requires="wps">
            <w:drawing>
              <wp:inline distT="0" distB="0" distL="0" distR="0" wp14:anchorId="320F60B2">
                <wp:extent cx="3701415" cy="1862455"/>
                <wp:effectExtent l="0" t="0" r="0" b="4445"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saturation amount="50000"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701520" cy="186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0pt;margin-top:-147.05pt;width:291.4pt;height:146.6pt;mso-wrap-style:none;v-text-anchor:middle;mso-position-vertical:top" wp14:anchorId="320F60B2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33" w:hanging="0"/>
        <w:jc w:val="center"/>
        <w:rPr>
          <w:rFonts w:eastAsia="Times New Roman" w:cs="Arial"/>
          <w:sz w:val="20"/>
          <w:szCs w:val="20"/>
          <w:lang w:val="en-US"/>
        </w:rPr>
      </w:pPr>
      <w:r>
        <w:rPr>
          <w:rFonts w:eastAsia="Times New Roman" w:cs="Arial"/>
          <w:color w:val="000000"/>
          <w:sz w:val="20"/>
          <w:szCs w:val="20"/>
          <w:lang w:val="en-US"/>
        </w:rPr>
        <w:t xml:space="preserve">Source : Houndété et al. (2010). </w:t>
      </w:r>
      <w:r>
        <w:rPr>
          <w:rFonts w:eastAsia="Times New Roman" w:cs="Arial"/>
          <w:i/>
          <w:iCs/>
          <w:color w:val="000000"/>
          <w:sz w:val="20"/>
          <w:szCs w:val="20"/>
          <w:lang w:val="en-US"/>
        </w:rPr>
        <w:t>Pesticide Biochemistry and Physiology</w:t>
      </w:r>
      <w:r>
        <w:rPr>
          <w:rFonts w:eastAsia="Times New Roman" w:cs="Arial"/>
          <w:color w:val="000000"/>
          <w:sz w:val="20"/>
          <w:szCs w:val="20"/>
          <w:lang w:val="en-US"/>
        </w:rPr>
        <w:t>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/>
          <w:b/>
          <w:color w:val="000000"/>
          <w:lang w:val="en-US"/>
        </w:rPr>
      </w:pPr>
      <w:r>
        <w:rPr>
          <w:rFonts w:eastAsia="Times New Roman" w:cs="Arial"/>
          <w:b/>
          <w:color w:val="000000"/>
          <w:lang w:val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/>
          <w:b/>
          <w:color w:val="000000"/>
          <w:lang w:val="en-US"/>
        </w:rPr>
      </w:pPr>
      <w:r>
        <w:rPr>
          <w:rFonts w:eastAsia="Times New Roman" w:cs="Arial"/>
          <w:b/>
          <w:color w:val="000000"/>
          <w:lang w:val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/>
          <w:b/>
          <w:color w:val="000000"/>
          <w:lang w:val="en-US"/>
        </w:rPr>
      </w:pPr>
      <w:r>
        <w:rPr>
          <w:rFonts w:eastAsia="Times New Roman" w:cs="Arial"/>
          <w:b/>
          <w:color w:val="000000"/>
          <w:lang w:val="en-US"/>
        </w:rPr>
      </w:r>
    </w:p>
    <w:p>
      <w:pPr>
        <w:pStyle w:val="Normal"/>
        <w:spacing w:lineRule="auto" w:line="276" w:before="240" w:after="160"/>
        <w:ind w:left="0" w:hanging="0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3-</w:t>
      </w:r>
      <w:r>
        <w:rPr>
          <w:rFonts w:eastAsia="Times New Roman" w:cs="Arial"/>
          <w:color w:val="000000"/>
        </w:rPr>
        <w:t xml:space="preserve"> À l’aide des données du document 3, montrer que la population d’aleurode du tabac évolue au cours du temps.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175" w:hanging="0"/>
        <w:rPr/>
      </w:pPr>
      <w:r>
        <w:rPr>
          <w:rFonts w:eastAsia="Times New Roman" w:cs="Arial"/>
          <w:b/>
          <w:color w:val="000000"/>
          <w:u w:val="single"/>
        </w:rPr>
        <w:t>Document 3</w:t>
      </w:r>
      <w:r>
        <w:rPr>
          <w:rFonts w:eastAsia="Times New Roman" w:cs="Arial"/>
          <w:b/>
          <w:color w:val="000000"/>
        </w:rPr>
        <w:t> : extrait d’un article de presse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175" w:hanging="0"/>
        <w:rPr/>
      </w:pPr>
      <w:r>
        <w:rPr/>
        <w:t>Il existe une trentaine de variétés d’aleurodes dans le monde. Celle qui inquiète actuellement (…) résiste à plusieurs familles de pesticides. Les ravageurs développent généralement une résistance à une seule famille de produits chimiques, restant vulnérables aux autres moyens d’action.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175" w:hanging="0"/>
        <w:rPr/>
      </w:pPr>
      <w:r>
        <w:rPr/>
        <w:t xml:space="preserve">Le problème est apparu aux États-Unis dès les années 1940, quelque temps à peine après l’introduction des pesticides dans l’agriculture. Généralement, la résistance provient d’une mutation. « </w:t>
      </w:r>
      <w:r>
        <w:rPr>
          <w:iCs/>
        </w:rPr>
        <w:t>Soit la structure de la protéine à laquelle s’attaque le pesticide est modifiée, soit le système nerveux produit plus de détoxifiants, ce qui aide l’insecte à mieux résister à l’agression d’un agent précis</w:t>
      </w:r>
      <w:r>
        <w:rPr/>
        <w:t xml:space="preserve"> », explique Chriss Brass, chercheur à l’université d’Exeter. »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ind w:left="175" w:hanging="0"/>
        <w:rPr>
          <w:sz w:val="18"/>
          <w:szCs w:val="18"/>
        </w:rPr>
      </w:pPr>
      <w:r>
        <w:rPr>
          <w:rFonts w:eastAsia="Times New Roman" w:cs="Arial"/>
          <w:color w:val="000000"/>
          <w:sz w:val="18"/>
          <w:szCs w:val="18"/>
        </w:rPr>
        <w:t xml:space="preserve">Source : Celnik, N. (2016, 20 août). Des insectes résistants aux pesticides inquiètent les États-Unis. </w:t>
      </w:r>
      <w:r>
        <w:rPr>
          <w:rFonts w:eastAsia="Times New Roman" w:cs="Arial"/>
          <w:i/>
          <w:iCs/>
          <w:color w:val="000000"/>
          <w:sz w:val="18"/>
          <w:szCs w:val="18"/>
        </w:rPr>
        <w:t>Le Monde</w:t>
      </w:r>
      <w:r>
        <w:rPr>
          <w:rFonts w:eastAsia="Times New Roman" w:cs="Arial"/>
          <w:color w:val="000000"/>
          <w:sz w:val="18"/>
          <w:szCs w:val="18"/>
        </w:rPr>
        <w:t>. Modifié.</w:t>
      </w:r>
    </w:p>
    <w:p>
      <w:pPr>
        <w:pStyle w:val="Normal"/>
        <w:spacing w:lineRule="auto" w:line="276" w:before="0" w:after="0"/>
        <w:ind w:left="0" w:hanging="0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</w:rPr>
      </w:r>
    </w:p>
    <w:p>
      <w:pPr>
        <w:pStyle w:val="Normal"/>
        <w:spacing w:lineRule="auto" w:line="276" w:before="0" w:after="0"/>
        <w:ind w:left="0" w:hanging="0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</w:rPr>
      </w:r>
    </w:p>
    <w:p>
      <w:pPr>
        <w:pStyle w:val="Normal"/>
        <w:spacing w:lineRule="auto" w:line="276" w:before="0" w:after="0"/>
        <w:ind w:left="0" w:hanging="0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</w:rPr>
      </w:r>
    </w:p>
    <w:p>
      <w:pPr>
        <w:pStyle w:val="Normal"/>
        <w:spacing w:lineRule="auto" w:line="276" w:before="0" w:after="0"/>
        <w:ind w:left="0" w:hanging="0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4-</w:t>
      </w:r>
      <w:r>
        <w:rPr>
          <w:rFonts w:eastAsia="Times New Roman" w:cs="Arial"/>
          <w:color w:val="000000"/>
        </w:rPr>
        <w:t xml:space="preserve"> </w:t>
      </w:r>
      <w:bookmarkStart w:id="0" w:name="__DdeLink__344_2834143670"/>
      <w:r>
        <w:rPr>
          <w:rFonts w:eastAsia="Times New Roman" w:cs="Arial"/>
          <w:color w:val="000000"/>
        </w:rPr>
        <w:t>Grâce aux connaissances, expliquer en quoi l’utilisation de produits phytosanitaires favorise le développement de ravageurs de culture résistants.</w:t>
      </w:r>
      <w:bookmarkEnd w:id="0"/>
    </w:p>
    <w:sectPr>
      <w:headerReference w:type="default" r:id="rId5"/>
      <w:footerReference w:type="default" r:id="rId6"/>
      <w:type w:val="nextPage"/>
      <w:pgSz w:w="11906" w:h="16838"/>
      <w:pgMar w:left="851" w:right="851" w:gutter="0" w:header="615" w:top="1196" w:footer="563" w:bottom="11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 xml:space="preserve"> PAGE </w:instrText>
    </w:r>
    <w:r>
      <w:rPr>
        <w:color w:val="666666"/>
      </w:rPr>
      <w:fldChar w:fldCharType="separate"/>
    </w:r>
    <w:r>
      <w:rPr>
        <w:color w:val="666666"/>
      </w:rPr>
      <w:t>2</w:t>
    </w:r>
    <w:r>
      <w:rPr>
        <w:color w:val="66666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– Term - La lutte contre un ravageur des cultures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suppressAutoHyphens w:val="true"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110fc3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tableau" w:customStyle="1">
    <w:name w:val="Contenu de tableau"/>
    <w:basedOn w:val="Normal"/>
    <w:qFormat/>
    <w:rsid w:val="005a47ef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a47ef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LibreOffice/7.3.1.3$Linux_X86_64 LibreOffice_project/30$Build-3</Application>
  <AppVersion>15.0000</AppVersion>
  <Pages>2</Pages>
  <Words>493</Words>
  <Characters>2759</Characters>
  <CharactersWithSpaces>3215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2021-04-16T11:02:00Z</dcterms:created>
  <dc:creator/>
  <dc:description/>
  <dc:language>fr-FR</dc:language>
  <cp:lastModifiedBy/>
  <dcterms:modified xsi:type="dcterms:W3CDTF">2022-04-12T14:37:54Z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