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60"/>
        <w:ind w:left="0" w:hanging="0"/>
        <w:jc w:val="center"/>
        <w:rPr/>
      </w:pPr>
      <w:r>
        <w:rPr/>
        <w:t>Réchauffement climatique et pêche au carrelet</w:t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3288"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margin">
              <wp:posOffset>4499610</wp:posOffset>
            </wp:positionH>
            <wp:positionV relativeFrom="paragraph">
              <wp:posOffset>111125</wp:posOffset>
            </wp:positionV>
            <wp:extent cx="2002790" cy="115443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préfecture de Charente-Maritime annonce, fin 2020, la mise en vente de onze emplacements permettant la réalisation de pontons de pêche au carrelet sur 6 communes du littoral. La pêche au carrelet utilise un filet mis à l'eau à partir d’une cabane sur pilotis.</w:t>
      </w:r>
    </w:p>
    <w:p>
      <w:pPr>
        <w:pStyle w:val="Normal"/>
        <w:widowControl/>
        <w:bidi w:val="0"/>
        <w:spacing w:lineRule="auto" w:line="259" w:before="0" w:after="160"/>
        <w:ind w:left="0" w:right="3288" w:hanging="0"/>
        <w:jc w:val="both"/>
        <w:rPr/>
      </w:pPr>
      <w:r>
        <w:rPr/>
        <w:t xml:space="preserve">Ces petites cabanes en bois perchées, </w:t>
      </w:r>
      <w:r>
        <w:rPr>
          <w:color w:val="000000" w:themeColor="text1"/>
        </w:rPr>
        <w:t>construites sur les rochers ou la vase des zones côtières</w:t>
      </w:r>
      <w:r>
        <w:rPr/>
        <w:t xml:space="preserve">, font partie du patrimoine de Charente-Maritime et sont très recherchées. Elles transmettent souvent de génération en génération. </w:t>
      </w:r>
    </w:p>
    <w:p>
      <w:pPr>
        <w:pStyle w:val="Normal"/>
        <w:jc w:val="righ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D’après Franceinfo.fr / octobre 2020</w:t>
      </w:r>
    </w:p>
    <w:p>
      <w:pPr>
        <w:pStyle w:val="Normal"/>
        <w:ind w:left="0" w:hanging="0"/>
        <w:jc w:val="both"/>
        <w:rPr/>
      </w:pPr>
      <w:r>
        <w:rPr/>
        <w:t>On cherche à comprendre les conséquences du réchauffement climatique sur le niveau marin et son impact sur le littoral, en particulier concernant la pêche au carrelet.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ind w:left="709" w:hanging="1"/>
        <w:rPr>
          <w:b/>
          <w:b/>
          <w:bCs/>
        </w:rPr>
      </w:pPr>
      <w:r>
        <w:rPr>
          <w:b/>
          <w:bCs/>
          <w:u w:val="single"/>
        </w:rPr>
        <w:t>Document 1</w:t>
      </w:r>
      <w:r>
        <w:rPr>
          <w:b/>
          <w:bCs/>
        </w:rPr>
        <w:t> : variation du niveau des océans par dilatation thermique</w:t>
      </w:r>
    </w:p>
    <w:p>
      <w:pPr>
        <w:pStyle w:val="Normal"/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jc w:val="both"/>
        <w:rPr/>
      </w:pPr>
      <w:r>
        <w:rPr/>
        <w:t>L’un des indicateurs du réchauffement climatique global est l’élévation du niveau marin. L’une des causes de cette augmentation est la dilatation thermique de l’eau.</w:t>
      </w:r>
    </w:p>
    <w:p>
      <w:pPr>
        <w:pStyle w:val="Normal"/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jc w:val="both"/>
        <w:rPr/>
      </w:pPr>
      <w:r>
        <w:rPr/>
        <w:t xml:space="preserve">On peut modéliser les océans par un parallélépipède comme sur le schéma ci-dessous. </w:t>
      </w:r>
    </w:p>
    <w:p>
      <w:pPr>
        <w:pStyle w:val="Normal"/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 wp14:anchorId="7B5BAE21">
                <wp:simplePos x="0" y="0"/>
                <wp:positionH relativeFrom="column">
                  <wp:posOffset>1340485</wp:posOffset>
                </wp:positionH>
                <wp:positionV relativeFrom="paragraph">
                  <wp:posOffset>1004570</wp:posOffset>
                </wp:positionV>
                <wp:extent cx="523875" cy="179705"/>
                <wp:effectExtent l="0" t="0" r="0" b="0"/>
                <wp:wrapNone/>
                <wp:docPr id="2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179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ind w:left="0" w:hanging="0"/>
                              <w:rPr>
                                <w:i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path="m0,0l-2147483645,0l-2147483645,-2147483646l0,-2147483646xe" fillcolor="white" stroked="f" o:allowincell="f" style="position:absolute;margin-left:105.55pt;margin-top:79.1pt;width:41.2pt;height:14.1pt;mso-wrap-style:none;v-text-anchor:middle" wp14:anchorId="7B5BAE21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ind w:left="0" w:hanging="0"/>
                        <w:rPr>
                          <w:i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10664645">
                <wp:simplePos x="0" y="0"/>
                <wp:positionH relativeFrom="column">
                  <wp:posOffset>693420</wp:posOffset>
                </wp:positionH>
                <wp:positionV relativeFrom="paragraph">
                  <wp:posOffset>1079500</wp:posOffset>
                </wp:positionV>
                <wp:extent cx="1042035" cy="479425"/>
                <wp:effectExtent l="0" t="0" r="0" b="0"/>
                <wp:wrapNone/>
                <wp:docPr id="4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200" cy="479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ind w:left="0" w:hanging="0"/>
                              <w:rPr>
                                <w:i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H= 300 à 500 m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path="m0,0l-2147483645,0l-2147483645,-2147483646l0,-2147483646xe" stroked="f" o:allowincell="f" style="position:absolute;margin-left:54.6pt;margin-top:85pt;width:82pt;height:37.7pt;mso-wrap-style:square;v-text-anchor:top" wp14:anchorId="1066464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ind w:left="0" w:hanging="0"/>
                        <w:rPr>
                          <w:i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H= 300 à 500 m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4927600" cy="1917700"/>
            <wp:effectExtent l="0" t="0" r="0" b="0"/>
            <wp:docPr id="6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jc w:val="both"/>
        <w:rPr/>
      </w:pPr>
      <w:r>
        <w:rPr/>
        <w:t>Seule la couche superficielle (de hauteur H = 300 à 500 m sur le schéma) est en fait sensible au réchauffement et donc impactée par cette dilatation thermique.</w:t>
      </w:r>
    </w:p>
    <w:p>
      <w:pPr>
        <w:pStyle w:val="Normal"/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jc w:val="both"/>
        <w:rPr/>
      </w:pPr>
      <w:r>
        <w:rPr/>
        <w:t>On peut modéliser l’élévation du niveau marin (notée h sur le schéma) grâce à la formule suivante :</w:t>
      </w:r>
    </w:p>
    <w:p>
      <w:pPr>
        <w:pStyle w:val="Normal"/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jc w:val="center"/>
        <w:rPr/>
      </w:pPr>
      <w:r>
        <w:rPr/>
        <w:t xml:space="preserve">h = </w:t>
      </w:r>
      <w:r>
        <w:rPr>
          <w:rFonts w:ascii="Symbol" w:hAnsi="Symbol"/>
        </w:rPr>
        <w:t></w:t>
      </w:r>
      <w:r>
        <w:rPr/>
        <w:t xml:space="preserve"> x H x </w:t>
      </w:r>
      <w:r>
        <w:rPr>
          <w:rFonts w:ascii="Symbol" w:hAnsi="Symbol"/>
        </w:rPr>
        <w:t></w:t>
      </w:r>
      <w:r>
        <w:rPr/>
        <w:t>T</w:t>
      </w:r>
    </w:p>
    <w:p>
      <w:pPr>
        <w:pStyle w:val="Normal"/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4" w:color="000000"/>
        </w:pBdr>
        <w:jc w:val="center"/>
        <w:rPr/>
      </w:pPr>
      <w:r>
        <w:rPr/>
        <w:t xml:space="preserve">avec </w:t>
      </w:r>
      <w:r>
        <w:rPr>
          <w:rFonts w:ascii="Symbol" w:hAnsi="Symbol"/>
        </w:rPr>
        <w:t></w:t>
      </w:r>
      <w:r>
        <w:rPr/>
        <w:t xml:space="preserve"> = coefficient de dilatation thermique et </w:t>
      </w:r>
      <w:r>
        <w:rPr>
          <w:rFonts w:ascii="Symbol" w:hAnsi="Symbol"/>
        </w:rPr>
        <w:t></w:t>
      </w:r>
      <w:r>
        <w:rPr/>
        <w:t>T = variation de température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 w:hanging="1"/>
        <w:rPr>
          <w:b/>
          <w:b/>
          <w:bCs/>
        </w:rPr>
      </w:pPr>
      <w:r>
        <w:rPr>
          <w:b/>
          <w:bCs/>
          <w:u w:val="single"/>
        </w:rPr>
        <w:t>Document 2</w:t>
      </w:r>
      <w:r>
        <w:rPr>
          <w:b/>
          <w:bCs/>
        </w:rPr>
        <w:t> : scénarios du GIEC et projections climatiques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/>
      </w:pPr>
      <w:r>
        <w:rPr/>
        <w:t>Le 5</w:t>
      </w:r>
      <w:r>
        <w:rPr>
          <w:vertAlign w:val="superscript"/>
        </w:rPr>
        <w:t xml:space="preserve">ème </w:t>
      </w:r>
      <w:r>
        <w:rPr/>
        <w:t>rapport du GIEC (Groupe d'experts intergouvernemental sur l'évolution du climat) propose plusieurs scénarios, établis à l’aide de modélisations climatiques, en fonction du forçage radiatif estimé. Le scénario RCP 8.5 (forçage de 8,5 W.m</w:t>
      </w:r>
      <w:r>
        <w:rPr>
          <w:vertAlign w:val="superscript"/>
        </w:rPr>
        <w:t>-2</w:t>
      </w:r>
      <w:r>
        <w:rPr/>
        <w:t>) est le plus pessimiste, mais c’est un scénario tout à fait envisageable car il correspond à la poursuite des émissions actuelles de gaz à effet de serre.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2" wp14:anchorId="639473FA">
                <wp:simplePos x="0" y="0"/>
                <wp:positionH relativeFrom="column">
                  <wp:posOffset>1083945</wp:posOffset>
                </wp:positionH>
                <wp:positionV relativeFrom="paragraph">
                  <wp:posOffset>-2540</wp:posOffset>
                </wp:positionV>
                <wp:extent cx="456565" cy="2187575"/>
                <wp:effectExtent l="0" t="0" r="0" b="0"/>
                <wp:wrapNone/>
                <wp:docPr id="7" name="Zon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6480" cy="218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ind w:left="0" w:hang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Augmentation moyenne du niveau marin (m)</w:t>
                            </w:r>
                          </w:p>
                        </w:txbxContent>
                      </wps:txbx>
                      <wps:bodyPr anchor="t" vert="eaVer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1" path="m0,0l-2147483645,0l-2147483645,-2147483646l0,-2147483646xe" stroked="f" o:allowincell="f" style="position:absolute;margin-left:85.35pt;margin-top:-0.25pt;width:35.9pt;height:172.2pt;flip:y;mso-wrap-style:square;v-text-anchor:top" wp14:anchorId="639473F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ind w:left="0" w:hanging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Augmentation moyenne du niveau marin (m)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3023870" cy="2225675"/>
            <wp:effectExtent l="0" t="0" r="0" b="0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265" t="0" r="0" b="6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Année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/>
      </w:pPr>
      <w:r>
        <w:rPr/>
        <w:t>Le graphique ci-dessous montre les prédictions de l’élévation du niveau marin (en m) dans le scénario RCP 8.5 d’ici à 2100.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  <w:szCs w:val="20"/>
        </w:rPr>
      </w:pPr>
      <w:r>
        <w:rPr>
          <w:sz w:val="20"/>
          <w:szCs w:val="20"/>
        </w:rPr>
        <w:t>RCP (Representative Concentration Pathways) :  profils représentatifs d'évolution de concentration de gaz à effet de serre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righ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D’après Yale Climate connections.</w:t>
      </w:r>
    </w:p>
    <w:p>
      <w:pPr>
        <w:pStyle w:val="Normal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left="0" w:hanging="0"/>
        <w:jc w:val="both"/>
        <w:rPr/>
      </w:pPr>
      <w:r>
        <w:rPr>
          <w:b/>
          <w:bCs/>
        </w:rPr>
        <w:t>1-</w:t>
      </w:r>
      <w:r>
        <w:rPr/>
        <w:t xml:space="preserve"> Les scénarios RCP du GIEC prennent en compte les émissions anthropiques de gaz à effet de serre : citer deux des principaux gaz à effet de serre ainsi qu’une source liée à l’activité humaine pour chacun d’eux.</w:t>
      </w:r>
    </w:p>
    <w:p>
      <w:pPr>
        <w:pStyle w:val="Normal"/>
        <w:suppressAutoHyphens w:val="true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left="0" w:hanging="0"/>
        <w:jc w:val="both"/>
        <w:rPr/>
      </w:pPr>
      <w:r>
        <w:rPr>
          <w:b/>
          <w:bCs/>
        </w:rPr>
        <w:t>2-</w:t>
      </w:r>
      <w:r>
        <w:rPr/>
        <w:t xml:space="preserve"> Expliquer en quoi l’augmentation de la concentration des gaz à effet de serre provoque un réchauffement climatique.</w:t>
      </w:r>
    </w:p>
    <w:p>
      <w:pPr>
        <w:pStyle w:val="Normal"/>
        <w:suppressAutoHyphens w:val="true"/>
        <w:spacing w:lineRule="auto" w:line="240" w:before="0" w:after="0"/>
        <w:ind w:left="0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left="0" w:hanging="0"/>
        <w:jc w:val="both"/>
        <w:rPr/>
      </w:pPr>
      <w:r>
        <w:rPr>
          <w:b/>
          <w:bCs/>
        </w:rPr>
        <w:t>3-</w:t>
      </w:r>
      <w:r>
        <w:rPr/>
        <w:t xml:space="preserve"> Dans le scénario RCP 8.5, on peut estimer qu’à l’horizon 2100, l’augmentation de la température moyenne des océans (</w:t>
      </w:r>
      <w:r>
        <w:rPr>
          <w:rFonts w:ascii="Symbol" w:hAnsi="Symbol"/>
        </w:rPr>
        <w:t></w:t>
      </w:r>
      <w:r>
        <w:rPr/>
        <w:t xml:space="preserve">T) sera de l’ordre de 3°C. D’autre part, on considère que le coefficient de dilatation thermique des océans, dans la gamme des températures considérées, est </w:t>
      </w:r>
      <w:r>
        <w:rPr>
          <w:rFonts w:ascii="Symbol" w:hAnsi="Symbol"/>
        </w:rPr>
        <w:t></w:t>
      </w:r>
      <w:r>
        <w:rPr/>
        <w:t xml:space="preserve"> = 2,7x10</w:t>
      </w:r>
      <w:r>
        <w:rPr>
          <w:vertAlign w:val="superscript"/>
        </w:rPr>
        <w:t>-4</w:t>
      </w:r>
      <w:r>
        <w:rPr/>
        <w:t xml:space="preserve"> °C</w:t>
      </w:r>
      <w:r>
        <w:rPr>
          <w:vertAlign w:val="superscript"/>
        </w:rPr>
        <w:t>-1</w:t>
      </w:r>
      <w:r>
        <w:rPr/>
        <w:t>. On considère une hauteur H de la couche superficielle de l’océan de 500 m. Calculer l’élévation h du niveau marin en 2100 selon le scénario RCP 8.5.</w:t>
      </w:r>
    </w:p>
    <w:p>
      <w:pPr>
        <w:pStyle w:val="Normal"/>
        <w:suppressAutoHyphens w:val="true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left="0" w:hanging="0"/>
        <w:jc w:val="both"/>
        <w:rPr/>
      </w:pPr>
      <w:r>
        <w:rPr>
          <w:b/>
          <w:bCs/>
        </w:rPr>
        <w:t>4-</w:t>
      </w:r>
      <w:r>
        <w:rPr/>
        <w:t xml:space="preserve"> Par lecture graphique, estimer le niveau d’élévation moyen prédit en 2100 par le scénario RCP 8.5.</w:t>
      </w:r>
    </w:p>
    <w:p>
      <w:pPr>
        <w:pStyle w:val="Normal"/>
        <w:suppressAutoHyphens w:val="true"/>
        <w:spacing w:lineRule="auto" w:line="240" w:before="0" w:after="0"/>
        <w:ind w:left="0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left="0" w:hanging="0"/>
        <w:jc w:val="both"/>
        <w:rPr/>
      </w:pPr>
      <w:r>
        <w:rPr>
          <w:b/>
          <w:bCs/>
        </w:rPr>
        <w:t>5-</w:t>
      </w:r>
      <w:r>
        <w:rPr/>
        <w:t xml:space="preserve"> Indiquer si la dilatation thermique des océans est la seule cause de l’augmentation du niveau des océans. Justifier et proposer une autre cause possible.</w:t>
      </w:r>
    </w:p>
    <w:p>
      <w:pPr>
        <w:pStyle w:val="Normal"/>
        <w:ind w:left="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uppressAutoHyphens w:val="true"/>
        <w:spacing w:lineRule="auto" w:line="240" w:before="0" w:after="0"/>
        <w:ind w:left="0" w:hanging="0"/>
        <w:jc w:val="both"/>
        <w:rPr/>
      </w:pPr>
      <w:r>
        <w:rPr>
          <w:b/>
          <w:bCs/>
        </w:rPr>
        <w:t>6-</w:t>
      </w:r>
      <w:r>
        <w:rPr/>
        <w:t xml:space="preserve"> À partir de l’exploitation du document 3, discuter de la durabilité d’une cabane sur pilotis pour la pêche au carrelet dans le contexte du scénario RCP 8.5. Justifier.</w:t>
      </w:r>
    </w:p>
    <w:p>
      <w:pPr>
        <w:pStyle w:val="Normal"/>
        <w:ind w:left="0" w:hanging="0"/>
        <w:rPr>
          <w:b/>
          <w:b/>
          <w:bCs/>
          <w:u w:val="single"/>
        </w:rPr>
      </w:pPr>
      <w:r>
        <w:rPr/>
      </w:r>
      <w:r>
        <w:br w:type="page"/>
      </w:r>
    </w:p>
    <w:tbl>
      <w:tblPr>
        <w:tblStyle w:val="Grilledutableau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2"/>
        <w:gridCol w:w="4985"/>
      </w:tblGrid>
      <w:tr>
        <w:trPr>
          <w:trHeight w:val="628" w:hRule="atLeast"/>
        </w:trPr>
        <w:tc>
          <w:tcPr>
            <w:tcW w:w="9917" w:type="dxa"/>
            <w:gridSpan w:val="2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before="0" w:after="160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u w:val="single"/>
                <w:lang w:val="fr-FR" w:eastAsia="fr-FR" w:bidi="ar-SA"/>
              </w:rPr>
              <w:t>Document 3</w:t>
            </w:r>
            <w:r>
              <w:rPr>
                <w:rFonts w:eastAsia="Calibri" w:cs="Times New Roman"/>
                <w:b/>
                <w:bCs/>
                <w:kern w:val="0"/>
                <w:lang w:val="fr-FR" w:eastAsia="fr-FR" w:bidi="ar-SA"/>
              </w:rPr>
              <w:t> : carte des terres émergées du littoral de Charente-Maritime en fonction de l’élévation du niveau marin.</w:t>
            </w:r>
          </w:p>
        </w:tc>
      </w:tr>
      <w:tr>
        <w:trPr>
          <w:trHeight w:val="5186" w:hRule="atLeast"/>
        </w:trPr>
        <w:tc>
          <w:tcPr>
            <w:tcW w:w="493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160"/>
              <w:ind w:left="708" w:hanging="708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drawing>
                <wp:inline distT="0" distB="0" distL="0" distR="0">
                  <wp:extent cx="2893060" cy="3215640"/>
                  <wp:effectExtent l="0" t="0" r="0" b="0"/>
                  <wp:docPr id="10" name="Imag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060" cy="32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5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  <w:kern w:val="0"/>
                <w:lang w:val="fr-FR" w:eastAsia="fr-FR" w:bidi="ar-SA"/>
              </w:rPr>
              <w:t>Niveau actuel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16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Sur les cartes, les zones foncées correspondent aux zones immergées (sous l’eau) et les zones claires correspondent aux terres émergées.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160"/>
              <w:jc w:val="both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Le scénario RCP 8.5 prévoit une augmentation de 3 m en 2250.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spacing w:before="0" w:after="160"/>
              <w:jc w:val="righ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Times New Roman"/>
                <w:i/>
                <w:iCs/>
                <w:kern w:val="0"/>
                <w:sz w:val="20"/>
                <w:szCs w:val="20"/>
                <w:lang w:val="fr-FR" w:eastAsia="fr-FR" w:bidi="ar-SA"/>
              </w:rPr>
              <w:t>D’après flood.firetree.net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</w:r>
          </w:p>
        </w:tc>
      </w:tr>
    </w:tbl>
    <w:tbl>
      <w:tblPr>
        <w:tblW w:w="99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956"/>
        <w:gridCol w:w="4955"/>
      </w:tblGrid>
      <w:tr>
        <w:trPr>
          <w:trHeight w:val="5141" w:hRule="atLeast"/>
        </w:trPr>
        <w:tc>
          <w:tcPr>
            <w:tcW w:w="4956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2767965" cy="3178175"/>
                  <wp:effectExtent l="0" t="0" r="0" b="0"/>
                  <wp:docPr id="11" name="Imag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965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2717800" cy="3133090"/>
                  <wp:effectExtent l="0" t="0" r="0" b="0"/>
                  <wp:docPr id="12" name="Imag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80" w:hRule="atLeast"/>
        </w:trPr>
        <w:tc>
          <w:tcPr>
            <w:tcW w:w="49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Élévation de 1 m</w:t>
            </w:r>
          </w:p>
        </w:tc>
        <w:tc>
          <w:tcPr>
            <w:tcW w:w="495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Élévation de 3 m en 2250</w:t>
            </w:r>
          </w:p>
        </w:tc>
      </w:tr>
    </w:tbl>
    <w:p>
      <w:pPr>
        <w:pStyle w:val="Normal"/>
        <w:spacing w:before="0" w:after="160"/>
        <w:ind w:left="0" w:hanging="0"/>
        <w:jc w:val="center"/>
        <w:rPr/>
      </w:pPr>
      <w:r>
        <w:rPr/>
      </w:r>
    </w:p>
    <w:sectPr>
      <w:headerReference w:type="default" r:id="rId8"/>
      <w:type w:val="nextPage"/>
      <w:pgSz w:w="11906" w:h="16838"/>
      <w:pgMar w:left="851" w:right="851" w:gutter="0" w:header="851" w:top="141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t xml:space="preserve">Term – Climat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1776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1601e9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719"/>
    <w:pPr>
      <w:pBdr/>
      <w:spacing w:before="0" w:after="160"/>
      <w:ind w:left="720" w:hanging="0"/>
      <w:contextualSpacing/>
    </w:pPr>
    <w:rPr/>
  </w:style>
  <w:style w:type="paragraph" w:styleId="Contenudetableau" w:customStyle="1">
    <w:name w:val="Contenu de tableau"/>
    <w:basedOn w:val="Normal"/>
    <w:qFormat/>
    <w:rsid w:val="007f7719"/>
    <w:pPr>
      <w:widowControl w:val="false"/>
      <w:suppressLineNumbers/>
      <w:suppressAutoHyphens w:val="true"/>
      <w:spacing w:lineRule="auto" w:line="240" w:before="0" w:after="0"/>
      <w:ind w:left="0" w:hanging="0"/>
    </w:pPr>
    <w:rPr>
      <w:rFonts w:ascii="Liberation Serif" w:hAnsi="Liberation Serif" w:eastAsia="NSimSun" w:cs="Lucida Sans"/>
      <w:kern w:val="2"/>
      <w:lang w:eastAsia="zh-CN" w:bidi="hi-IN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3</Pages>
  <Words>624</Words>
  <Characters>3211</Characters>
  <CharactersWithSpaces>3803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2021-04-16T12:27:00Z</dcterms:created>
  <dc:creator/>
  <dc:description/>
  <dc:language>fr-FR</dc:language>
  <cp:lastModifiedBy/>
  <dcterms:modified xsi:type="dcterms:W3CDTF">2022-09-10T19:15:17Z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