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00"/>
        <w:jc w:val="center"/>
      </w:pPr>
      <w:r>
        <w:rPr>
          <w:b/>
          <w:bCs/>
          <w:color w:val="1a1a2e"/>
          <w:sz w:val="48"/>
          <w:szCs w:val="48"/>
        </w:rPr>
        <w:t xml:space="preserve">The φ-Zone Hypothesis:</w:t>
      </w:r>
    </w:p>
    <w:p>
      <w:pPr>
        <w:spacing w:before="80" w:after="80"/>
        <w:jc w:val="center"/>
      </w:pPr>
      <w:r>
        <w:rPr>
          <w:b/>
          <w:bCs/>
          <w:color w:val="333333"/>
          <w:sz w:val="32"/>
          <w:szCs w:val="32"/>
        </w:rPr>
        <w:t xml:space="preserve">Golden Ratio Adaptation Rates Outperform Classical Strategies</w:t>
      </w:r>
    </w:p>
    <w:p>
      <w:pPr>
        <w:spacing w:before="60" w:after="60"/>
        <w:jc w:val="center"/>
      </w:pPr>
      <w:r>
        <w:rPr>
          <w:b/>
          <w:bCs/>
          <w:color w:val="333333"/>
          <w:sz w:val="32"/>
          <w:szCs w:val="32"/>
        </w:rPr>
        <w:t xml:space="preserve">in High-Complexity Non-Stationary Multi-Armed Bandits</w:t>
      </w:r>
    </w:p>
    <w:p>
      <w:pPr>
        <w:spacing w:before="80" w:after="80"/>
      </w:pPr>
      <w:r>
        <w:t xml:space="preserve"/>
      </w:r>
    </w:p>
    <w:p>
      <w:pPr>
        <w:spacing w:before="200" w:after="60"/>
        <w:jc w:val="center"/>
      </w:pPr>
      <w:r>
        <w:rPr>
          <w:b/>
          <w:bCs/>
          <w:sz w:val="24"/>
          <w:szCs w:val="24"/>
        </w:rPr>
        <w:t xml:space="preserve">Mackenzie C. J. Clark</w:t>
      </w:r>
    </w:p>
    <w:p>
      <w:pPr>
        <w:spacing w:before="40" w:after="40"/>
        <w:jc w:val="center"/>
      </w:pPr>
      <w:r>
        <w:rPr>
          <w:i/>
          <w:iCs/>
          <w:sz w:val="22"/>
          <w:szCs w:val="22"/>
        </w:rPr>
        <w:t xml:space="preserve">Lycheetah Foundation, Dunedin, New Zealand</w:t>
      </w:r>
    </w:p>
    <w:p>
      <w:pPr>
        <w:spacing w:before="40" w:after="400"/>
        <w:jc w:val="center"/>
      </w:pPr>
      <w:r>
        <w:rPr>
          <w:color w:val="666666"/>
          <w:sz w:val="20"/>
          <w:szCs w:val="20"/>
        </w:rPr>
        <w:t xml:space="preserve">February 2026  |  Open Access  |  MIT License</w:t>
      </w:r>
    </w:p>
    <w:p>
      <w:pPr>
        <w:pStyle w:val="Heading1"/>
        <w:pBdr>
          <w:bottom w:val="single" w:color="444444" w:sz="6" w:space="2"/>
        </w:pBdr>
        <w:spacing w:before="360" w:after="180"/>
      </w:pPr>
      <w:r>
        <w:rPr>
          <w:b/>
          <w:bCs/>
          <w:color w:val="1a1a2e"/>
          <w:sz w:val="32"/>
          <w:szCs w:val="32"/>
        </w:rPr>
        <w:t xml:space="preserve">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40"/>
        </w:tblCellMar>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r>
              <w:rPr>
                <w:i/>
                <w:iCs/>
                <w:sz w:val="20"/>
                <w:szCs w:val="20"/>
              </w:rPr>
              <w:t xml:space="preserve">We investigate whether exploration and learning rates derived from the golden ratio φ ≈ 1.618 (specifically φ⁻¹ ≈ 0.618 and φ⁻² ≈ 0.382) confer adaptive advantages in non-stationary multi-armed bandit problems. Across 10,500 experimental runs spanning five environmental conditions, we find that the φ-zone (ε, α ∈ [0.382, 0.618]) significantly outperforms classical low-exploration strategies (ε = 0.1) in continuous-drift environments (t = 70.29, p &lt; 0.001) and that this advantage scales with problem complexity — growing from +76 reward units at 5 arms to +145 units at 100 arms. Critically, φ-zone strategies demonstrate robustness across all time horizons, winning from the first quarter of interaction rather than only asymptotically. These findings have direct implications for AI alignment systems operating in dynamic real-world environments, where action spaces are large and reward landscapes shift continuously.</w:t>
            </w:r>
          </w:p>
        </w:tc>
      </w:tr>
    </w:tbl>
    <w:p>
      <w:pPr>
        <w:spacing w:before="80" w:after="80"/>
      </w:pPr>
      <w:r>
        <w:t xml:space="preserve"/>
      </w:r>
    </w:p>
    <w:p>
      <w:pPr>
        <w:pStyle w:val="Heading1"/>
        <w:pBdr>
          <w:bottom w:val="single" w:color="444444" w:sz="6" w:space="2"/>
        </w:pBdr>
        <w:spacing w:before="360" w:after="180"/>
      </w:pPr>
      <w:r>
        <w:rPr>
          <w:b/>
          <w:bCs/>
          <w:color w:val="1a1a2e"/>
          <w:sz w:val="32"/>
          <w:szCs w:val="32"/>
        </w:rPr>
        <w:t xml:space="preserve">1. Introduction</w:t>
      </w:r>
    </w:p>
    <w:p>
      <w:pPr>
        <w:spacing w:before="60" w:after="120"/>
        <w:jc w:val="both"/>
      </w:pPr>
      <w:r>
        <w:rPr>
          <w:sz w:val="22"/>
          <w:szCs w:val="22"/>
        </w:rPr>
        <w:t xml:space="preserve">The golden ratio φ ≈ 1.618 appears throughout natural systems — in the branching of plants, the proportions of shells, the structure of financial markets, and the convergence rates of recursive algorithms. A central question in computational intelligence is whether this appearance is coincidental or reflects a deeper optimality principle.</w:t>
      </w:r>
    </w:p>
    <w:p>
      <w:pPr>
        <w:spacing w:before="80" w:after="80"/>
      </w:pPr>
      <w:r>
        <w:t xml:space="preserve"/>
      </w:r>
    </w:p>
    <w:p>
      <w:pPr>
        <w:spacing w:before="60" w:after="120"/>
        <w:jc w:val="both"/>
      </w:pPr>
      <w:r>
        <w:rPr>
          <w:sz w:val="22"/>
          <w:szCs w:val="22"/>
        </w:rPr>
        <w:t xml:space="preserve">This paper investigates a specific, testable hypothesis derived from the Lycheetah Framework (Clark, 2026): that exploration and learning rates in the φ-zone (the interval [φ⁻², φ⁻¹] ≈ [0.382, 0.618]) produce superior adaptive performance in non-stationary environments compared to classical epsilon-greedy strategies.</w:t>
      </w:r>
    </w:p>
    <w:p>
      <w:pPr>
        <w:spacing w:before="80" w:after="80"/>
      </w:pPr>
      <w:r>
        <w:t xml:space="preserve"/>
      </w:r>
    </w:p>
    <w:p>
      <w:pPr>
        <w:spacing w:before="60" w:after="120"/>
        <w:jc w:val="both"/>
      </w:pPr>
      <w:r>
        <w:rPr>
          <w:sz w:val="22"/>
          <w:szCs w:val="22"/>
        </w:rPr>
        <w:t xml:space="preserve">The hypothesis is motivated by a structural argument: φ is the unique fixed point of the map x → 1 + 1/x, the simplest self-similar recursion. Any system operating at φ-ratio balances its competing drives (exploitation vs. exploration, stability vs. adaptation) at the same proportion that nature uses for self-similar growth. If this structural argument has empirical force, we would expect φ-zone strategies to outperform both conservative (low ε) and aggressive (high ε) alternatives in environments that require sustained adaptation.</w:t>
      </w:r>
    </w:p>
    <w:p>
      <w:pPr>
        <w:spacing w:before="80" w:after="80"/>
      </w:pPr>
      <w:r>
        <w:t xml:space="preserve"/>
      </w:r>
    </w:p>
    <w:p>
      <w:pPr>
        <w:spacing w:before="60" w:after="120"/>
        <w:jc w:val="both"/>
      </w:pPr>
      <w:r>
        <w:rPr>
          <w:sz w:val="22"/>
          <w:szCs w:val="22"/>
        </w:rPr>
        <w:t xml:space="preserve">We test this hypothesis rigorously across five environmental conditions, with statistical validation and complexity scaling analysis. We report results honestly — including conditions where the hypothesis fails — and derive a refined, falsifiable claim from the data.</w:t>
      </w:r>
    </w:p>
    <w:p>
      <w:r>
        <w:br w:type="page"/>
      </w:r>
    </w:p>
    <w:p>
      <w:pPr>
        <w:pStyle w:val="Heading1"/>
        <w:pBdr>
          <w:bottom w:val="single" w:color="444444" w:sz="6" w:space="2"/>
        </w:pBdr>
        <w:spacing w:before="360" w:after="180"/>
      </w:pPr>
      <w:r>
        <w:rPr>
          <w:b/>
          <w:bCs/>
          <w:color w:val="1a1a2e"/>
          <w:sz w:val="32"/>
          <w:szCs w:val="32"/>
        </w:rPr>
        <w:t xml:space="preserve">2. Background &amp; Motivation</w:t>
      </w:r>
    </w:p>
    <w:p>
      <w:pPr>
        <w:pStyle w:val="Heading2"/>
        <w:spacing w:before="280" w:after="140"/>
      </w:pPr>
      <w:r>
        <w:rPr>
          <w:b/>
          <w:bCs/>
          <w:color w:val="16213e"/>
          <w:sz w:val="26"/>
          <w:szCs w:val="26"/>
        </w:rPr>
        <w:t xml:space="preserve">2.1 The Multi-Armed Bandit Problem</w:t>
      </w:r>
    </w:p>
    <w:p>
      <w:pPr>
        <w:spacing w:before="60" w:after="120"/>
        <w:jc w:val="both"/>
      </w:pPr>
      <w:r>
        <w:rPr>
          <w:sz w:val="22"/>
          <w:szCs w:val="22"/>
        </w:rPr>
        <w:t xml:space="preserve">The multi-armed bandit (MAB) problem is a foundational model in reinforcement learning: an agent repeatedly chooses among k arms, each with unknown reward probability, attempting to maximise cumulative reward. The explore-exploit tradeoff is central — exploration identifies better arms while exploitation uses known good arms.</w:t>
      </w:r>
    </w:p>
    <w:p>
      <w:pPr>
        <w:spacing w:before="80" w:after="80"/>
      </w:pPr>
      <w:r>
        <w:t xml:space="preserve"/>
      </w:r>
    </w:p>
    <w:p>
      <w:pPr>
        <w:spacing w:before="60" w:after="120"/>
        <w:jc w:val="both"/>
      </w:pPr>
      <w:r>
        <w:rPr>
          <w:sz w:val="22"/>
          <w:szCs w:val="22"/>
        </w:rPr>
        <w:t xml:space="preserve">In stationary MABs, the optimal strategy is to explore minimally and exploit aggressively once a good arm is identified. Classical results (Lai &amp; Robbins, 1985; Auer et al., 2002) establish that logarithmic regret is achievable with UCB and Thompson Sampling. In these settings, low epsilon-greedy (ε = 0.1) performs well.</w:t>
      </w:r>
    </w:p>
    <w:p>
      <w:pPr>
        <w:spacing w:before="80" w:after="80"/>
      </w:pPr>
      <w:r>
        <w:t xml:space="preserve"/>
      </w:r>
    </w:p>
    <w:p>
      <w:pPr>
        <w:spacing w:before="60" w:after="120"/>
        <w:jc w:val="both"/>
      </w:pPr>
      <w:r>
        <w:rPr>
          <w:sz w:val="22"/>
          <w:szCs w:val="22"/>
        </w:rPr>
        <w:t xml:space="preserve">Non-stationary MABs — where arm reward probabilities drift over time — are more challenging and more realistic. Real-world systems (user preferences, market conditions, environmental states) change continuously. In these settings, low exploration rates fail catastrophically: an agent that learned the best arm 1000 steps ago may be exploiting an arm that has since become suboptimal.</w:t>
      </w:r>
    </w:p>
    <w:p>
      <w:pPr>
        <w:pStyle w:val="Heading2"/>
        <w:spacing w:before="280" w:after="140"/>
      </w:pPr>
      <w:r>
        <w:rPr>
          <w:b/>
          <w:bCs/>
          <w:color w:val="16213e"/>
          <w:sz w:val="26"/>
          <w:szCs w:val="26"/>
        </w:rPr>
        <w:t xml:space="preserve">2.2 The φ Hypothesis</w:t>
      </w:r>
    </w:p>
    <w:p>
      <w:pPr>
        <w:spacing w:before="60" w:after="120"/>
        <w:jc w:val="both"/>
      </w:pPr>
      <w:r>
        <w:rPr>
          <w:sz w:val="22"/>
          <w:szCs w:val="22"/>
        </w:rPr>
        <w:t xml:space="preserve">The Lycheetah Framework (Clark, 2026) proposes that φ-ratio dynamics appear across alignment-relevant systems. In the context of MABs, the hypothesis 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40"/>
        </w:tblCellMar>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20"/>
              <w:left w:type="dxa" w:w="200"/>
              <w:bottom w:type="dxa" w:w="120"/>
              <w:right w:type="dxa" w:w="200"/>
            </w:tcMar>
          </w:tcPr>
          <w:p>
            <w:r>
              <w:rPr>
                <w:i/>
                <w:iCs/>
                <w:sz w:val="20"/>
                <w:szCs w:val="20"/>
              </w:rPr>
              <w:t xml:space="preserve">φ-zone strategies (ε, α ∈ [0.382, 0.618]) achieve superior cumulative reward in non-stationary environments because they balance exploration and adaptation at the same self-similar ratio that governs stable recursive growth in natural systems.</w:t>
            </w:r>
          </w:p>
        </w:tc>
      </w:tr>
    </w:tbl>
    <w:p>
      <w:pPr>
        <w:spacing w:before="80" w:after="80"/>
      </w:pPr>
      <w:r>
        <w:t xml:space="preserve"/>
      </w:r>
    </w:p>
    <w:p>
      <w:pPr>
        <w:spacing w:before="60" w:after="120"/>
        <w:jc w:val="both"/>
      </w:pPr>
      <w:r>
        <w:rPr>
          <w:sz w:val="22"/>
          <w:szCs w:val="22"/>
        </w:rPr>
        <w:t xml:space="preserve">This is a mathematical hypothesis with empirical content. It predicts specific performance advantages in specific conditions — making it falsifiable. Prior to this study, it was untested.</w:t>
      </w:r>
    </w:p>
    <w:p>
      <w:r>
        <w:br w:type="page"/>
      </w:r>
    </w:p>
    <w:p>
      <w:pPr>
        <w:pStyle w:val="Heading1"/>
        <w:pBdr>
          <w:bottom w:val="single" w:color="444444" w:sz="6" w:space="2"/>
        </w:pBdr>
        <w:spacing w:before="360" w:after="180"/>
      </w:pPr>
      <w:r>
        <w:rPr>
          <w:b/>
          <w:bCs/>
          <w:color w:val="1a1a2e"/>
          <w:sz w:val="32"/>
          <w:szCs w:val="32"/>
        </w:rPr>
        <w:t xml:space="preserve">3. Experimental Design</w:t>
      </w:r>
    </w:p>
    <w:p>
      <w:pPr>
        <w:pStyle w:val="Heading2"/>
        <w:spacing w:before="280" w:after="140"/>
      </w:pPr>
      <w:r>
        <w:rPr>
          <w:b/>
          <w:bCs/>
          <w:color w:val="16213e"/>
          <w:sz w:val="26"/>
          <w:szCs w:val="26"/>
        </w:rPr>
        <w:t xml:space="preserve">3.1 Bandit Configuration</w:t>
      </w:r>
    </w:p>
    <w:p>
      <w:pPr>
        <w:spacing w:before="60" w:after="120"/>
        <w:jc w:val="both"/>
      </w:pPr>
      <w:r>
        <w:rPr>
          <w:sz w:val="22"/>
          <w:szCs w:val="22"/>
        </w:rPr>
        <w:t xml:space="preserve">We use a 10-arm bandit with reward probabilities that vary continuously over time. Each arm's reward probability at step t follows:</w:t>
      </w:r>
    </w:p>
    <w:p>
      <w:pPr>
        <w:spacing w:before="80" w:after="80"/>
      </w:pPr>
      <w:r>
        <w:t xml:space="preserve"/>
      </w:r>
    </w:p>
    <w:p>
      <w:pPr>
        <w:spacing w:before="40" w:after="40"/>
        <w:ind w:left="720"/>
      </w:pPr>
      <w:r>
        <w:rPr>
          <w:rFonts w:ascii="Courier New" w:cs="Courier New" w:eastAsia="Courier New" w:hAnsi="Courier New"/>
          <w:color w:val="333333"/>
          <w:sz w:val="18"/>
          <w:szCs w:val="18"/>
        </w:rPr>
        <w:t xml:space="preserve">p_i(t) = clamp(0.3 + A·sin(2π·t/T + i·φ_offset), 0.05, 0.95)</w:t>
      </w:r>
    </w:p>
    <w:p>
      <w:pPr>
        <w:spacing w:before="80" w:after="80"/>
      </w:pPr>
      <w:r>
        <w:t xml:space="preserve"/>
      </w:r>
    </w:p>
    <w:p>
      <w:pPr>
        <w:spacing w:before="60" w:after="120"/>
        <w:jc w:val="both"/>
      </w:pPr>
      <w:r>
        <w:rPr>
          <w:sz w:val="22"/>
          <w:szCs w:val="22"/>
        </w:rPr>
        <w:t xml:space="preserve">where A is amplitude, T is drift period, and φ_offset = 0.7 (chosen to decorrelate arm dynamics). The recency-weighted update rule is used throughout:</w:t>
      </w:r>
    </w:p>
    <w:p>
      <w:pPr>
        <w:spacing w:before="80" w:after="80"/>
      </w:pPr>
      <w:r>
        <w:t xml:space="preserve"/>
      </w:r>
    </w:p>
    <w:p>
      <w:pPr>
        <w:spacing w:before="40" w:after="40"/>
        <w:ind w:left="720"/>
      </w:pPr>
      <w:r>
        <w:rPr>
          <w:rFonts w:ascii="Courier New" w:cs="Courier New" w:eastAsia="Courier New" w:hAnsi="Courier New"/>
          <w:color w:val="333333"/>
          <w:sz w:val="18"/>
          <w:szCs w:val="18"/>
        </w:rPr>
        <w:t xml:space="preserve">Q(arm) ← Q(arm) + α · (reward − Q(arm))</w:t>
      </w:r>
    </w:p>
    <w:p>
      <w:pPr>
        <w:spacing w:before="80" w:after="80"/>
      </w:pPr>
      <w:r>
        <w:t xml:space="preserve"/>
      </w:r>
    </w:p>
    <w:p>
      <w:pPr>
        <w:spacing w:before="60" w:after="120"/>
        <w:jc w:val="both"/>
      </w:pPr>
      <w:r>
        <w:rPr>
          <w:sz w:val="22"/>
          <w:szCs w:val="22"/>
        </w:rPr>
        <w:t xml:space="preserve">This weighting emphasises recent observations, which is appropriate for non-stationary environments.</w:t>
      </w:r>
    </w:p>
    <w:p>
      <w:pPr>
        <w:pStyle w:val="Heading2"/>
        <w:spacing w:before="280" w:after="140"/>
      </w:pPr>
      <w:r>
        <w:rPr>
          <w:b/>
          <w:bCs/>
          <w:color w:val="16213e"/>
          <w:sz w:val="26"/>
          <w:szCs w:val="26"/>
        </w:rPr>
        <w:t xml:space="preserve">3.2 Environmental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200"/>
        <w:gridCol w:w="2000"/>
        <w:gridCol w:w="1400"/>
        <w:gridCol w:w="1400"/>
        <w:gridCol w:w="2360"/>
      </w:tblGrid>
      <w:tr>
        <w:tc>
          <w:tcPr>
            <w:tcW w:type="dxa" w:w="22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Environment</w:t>
            </w:r>
          </w:p>
        </w:tc>
        <w:tc>
          <w:tcPr>
            <w:tcW w:type="dxa" w:w="20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Drift Type</w:t>
            </w:r>
          </w:p>
        </w:tc>
        <w:tc>
          <w:tcPr>
            <w:tcW w:type="dxa" w:w="14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Period T</w:t>
            </w:r>
          </w:p>
        </w:tc>
        <w:tc>
          <w:tcPr>
            <w:tcW w:type="dxa" w:w="14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Amplitude A</w:t>
            </w:r>
          </w:p>
        </w:tc>
        <w:tc>
          <w:tcPr>
            <w:tcW w:type="dxa" w:w="236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Stationary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None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0.0</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Fixed probabilities, baseline condition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Slow drift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Sinusoidal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2000 steps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0.20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Gradual landscape shift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Medium drift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Sinusoidal</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500 steps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0.25</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Moderate continuous change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Fast drift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Sinusoidal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100 steps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0.25</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Rapid continuous change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Chaotic</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Multi-freq</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Mixed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0.33</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Three competing frequencies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Shock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Step jumps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500 steps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Sudden best-arm changes</w:t>
            </w:r>
          </w:p>
        </w:tc>
      </w:tr>
    </w:tbl>
    <w:p>
      <w:pPr>
        <w:pStyle w:val="Heading2"/>
        <w:spacing w:before="280" w:after="140"/>
      </w:pPr>
      <w:r>
        <w:rPr>
          <w:b/>
          <w:bCs/>
          <w:color w:val="16213e"/>
          <w:sz w:val="26"/>
          <w:szCs w:val="26"/>
        </w:rPr>
        <w:t xml:space="preserve">3.3 Epsilon Values Tested</w:t>
      </w:r>
    </w:p>
    <w:p>
      <w:pPr>
        <w:spacing w:before="60" w:after="120"/>
        <w:jc w:val="both"/>
      </w:pPr>
      <w:r>
        <w:rPr>
          <w:sz w:val="22"/>
          <w:szCs w:val="22"/>
        </w:rPr>
        <w:t xml:space="preserve">Seven epsilon values were tested: 0.0 (pure exploit), 0.05, 0.1 (classical), 0.2, 0.382 (φ⁻²), 0.5, 0.618 (φ⁻¹), 0.8 (heavy explore). Learning rates (alpha) were varied independently in Tests 2–6.</w:t>
      </w:r>
    </w:p>
    <w:p>
      <w:pPr>
        <w:pStyle w:val="Heading2"/>
        <w:spacing w:before="280" w:after="140"/>
      </w:pPr>
      <w:r>
        <w:rPr>
          <w:b/>
          <w:bCs/>
          <w:color w:val="16213e"/>
          <w:sz w:val="26"/>
          <w:szCs w:val="26"/>
        </w:rPr>
        <w:t xml:space="preserve">3.4 Statistical Protocol</w:t>
      </w:r>
    </w:p>
    <w:p>
      <w:pPr>
        <w:spacing w:before="60" w:after="120"/>
        <w:jc w:val="both"/>
      </w:pPr>
      <w:r>
        <w:rPr>
          <w:sz w:val="22"/>
          <w:szCs w:val="22"/>
        </w:rPr>
        <w:t xml:space="preserve">All conditions: N = 300–500 independent runs, 5,000–10,000 steps per run. Statistical significance assessed via Welch's t-test. Results reported as mean ± standard deviation. Significance threshold: p &lt; 0.05 (all reported significant results exceed p &lt; 0.001).</w:t>
      </w:r>
    </w:p>
    <w:p>
      <w:r>
        <w:br w:type="page"/>
      </w:r>
    </w:p>
    <w:p>
      <w:pPr>
        <w:pStyle w:val="Heading1"/>
        <w:pBdr>
          <w:bottom w:val="single" w:color="444444" w:sz="6" w:space="2"/>
        </w:pBdr>
        <w:spacing w:before="360" w:after="180"/>
      </w:pPr>
      <w:r>
        <w:rPr>
          <w:b/>
          <w:bCs/>
          <w:color w:val="1a1a2e"/>
          <w:sz w:val="32"/>
          <w:szCs w:val="32"/>
        </w:rPr>
        <w:t xml:space="preserve">4. Results</w:t>
      </w:r>
    </w:p>
    <w:p>
      <w:pPr>
        <w:pStyle w:val="Heading2"/>
        <w:spacing w:before="280" w:after="140"/>
      </w:pPr>
      <w:r>
        <w:rPr>
          <w:b/>
          <w:bCs/>
          <w:color w:val="16213e"/>
          <w:sz w:val="26"/>
          <w:szCs w:val="26"/>
        </w:rPr>
        <w:t xml:space="preserve">4.1 Stationary Environment — Hypothesis Fails</w:t>
      </w:r>
    </w:p>
    <w:p>
      <w:pPr>
        <w:spacing w:before="60" w:after="120"/>
        <w:jc w:val="both"/>
      </w:pPr>
      <w:r>
        <w:rPr>
          <w:sz w:val="22"/>
          <w:szCs w:val="22"/>
        </w:rPr>
        <w:t xml:space="preserve">In stationary environments, classical ε = 0.1 significantly outperforms φ-zone strategies (2,769 vs. 2,163 cumulative reward, N=5000 steps). This result is expected and important: the hypothesis makes no claim about stationary environments, and confirming the null helps calibrate our analysis.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40"/>
        </w:tblCellMar>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i/>
                <w:iCs/>
                <w:sz w:val="20"/>
                <w:szCs w:val="20"/>
              </w:rPr>
              <w:t xml:space="preserve">The φ-zone hypothesis is not a universal claim. It applies specifically to non-stationary environments with continuous drift and/or high complexity. Stationary settings favour conservative exploitation, consistent with classical theory.</w:t>
            </w:r>
          </w:p>
        </w:tc>
      </w:tr>
    </w:tbl>
    <w:p>
      <w:pPr>
        <w:pStyle w:val="Heading2"/>
        <w:spacing w:before="280" w:after="140"/>
      </w:pPr>
      <w:r>
        <w:rPr>
          <w:b/>
          <w:bCs/>
          <w:color w:val="16213e"/>
          <w:sz w:val="26"/>
          <w:szCs w:val="26"/>
        </w:rPr>
        <w:t xml:space="preserve">4.2 Fast Drift &amp; Chaotic Environments — Hypothesis Confirmed</w:t>
      </w:r>
    </w:p>
    <w:p>
      <w:pPr>
        <w:spacing w:before="60" w:after="120"/>
        <w:jc w:val="both"/>
      </w:pPr>
      <w:r>
        <w:rPr>
          <w:sz w:val="22"/>
          <w:szCs w:val="22"/>
        </w:rPr>
        <w:t xml:space="preserve">In fast-drift and chaotic environments, φ-zone strategies produce significantly superior cumulative reward:</w:t>
      </w:r>
    </w:p>
    <w:p>
      <w:pPr>
        <w:spacing w:before="80" w:after="8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800"/>
        <w:gridCol w:w="1800"/>
        <w:gridCol w:w="2200"/>
        <w:gridCol w:w="1400"/>
        <w:gridCol w:w="1200"/>
        <w:gridCol w:w="1400"/>
      </w:tblGrid>
      <w:tr>
        <w:tc>
          <w:tcPr>
            <w:tcW w:type="dxa" w:w="18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Condition</w:t>
            </w:r>
          </w:p>
        </w:tc>
        <w:tc>
          <w:tcPr>
            <w:tcW w:type="dxa" w:w="18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Classic (ε=0.1)</w:t>
            </w:r>
          </w:p>
        </w:tc>
        <w:tc>
          <w:tcPr>
            <w:tcW w:type="dxa" w:w="22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φ-zone (ε=0.382, α=0.382)</w:t>
            </w:r>
          </w:p>
        </w:tc>
        <w:tc>
          <w:tcPr>
            <w:tcW w:type="dxa" w:w="14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t-statistic</w:t>
            </w:r>
          </w:p>
        </w:tc>
        <w:tc>
          <w:tcPr>
            <w:tcW w:type="dxa" w:w="12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p-value</w:t>
            </w:r>
          </w:p>
        </w:tc>
        <w:tc>
          <w:tcPr>
            <w:tcW w:type="dxa" w:w="14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Winner</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Fast drift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3,357 ± 70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3,637 ± 55</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t = 70.29</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p &lt; 0.001</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bCs/>
                <w:sz w:val="19"/>
                <w:szCs w:val="19"/>
              </w:rPr>
              <w:t xml:space="preserve">φ-zone ★</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Chaotic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3,119 ± 54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3,309 ± 53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t = 56.23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p &lt; 0.001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9"/>
                <w:szCs w:val="19"/>
              </w:rPr>
              <w:t xml:space="preserve">φ-zone ★</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Shock jumps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7,117 ± 111</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5,469 ± 68</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t = −283.4</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p &lt; 0.001</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bCs/>
                <w:sz w:val="19"/>
                <w:szCs w:val="19"/>
              </w:rPr>
              <w:t xml:space="preserve">Classic ★</w:t>
            </w:r>
          </w:p>
        </w:tc>
      </w:tr>
    </w:tbl>
    <w:p>
      <w:pPr>
        <w:spacing w:before="80" w:after="80"/>
      </w:pPr>
      <w:r>
        <w:t xml:space="preserve"/>
      </w:r>
    </w:p>
    <w:p>
      <w:pPr>
        <w:spacing w:before="60" w:after="120"/>
        <w:jc w:val="both"/>
      </w:pPr>
      <w:r>
        <w:rPr>
          <w:sz w:val="22"/>
          <w:szCs w:val="22"/>
        </w:rPr>
        <w:t xml:space="preserve">The shock environment result is critical: when the environment changes via sudden discrete jumps (rather than continuous drift), φ-zone exploration is excessive and classic wins decisively. This defines the precise boundary condition of the hypothesis.</w:t>
      </w:r>
    </w:p>
    <w:p>
      <w:pPr>
        <w:pStyle w:val="Heading2"/>
        <w:spacing w:before="280" w:after="140"/>
      </w:pPr>
      <w:r>
        <w:rPr>
          <w:b/>
          <w:bCs/>
          <w:color w:val="16213e"/>
          <w:sz w:val="26"/>
          <w:szCs w:val="26"/>
        </w:rPr>
        <w:t xml:space="preserve">4.3 φ as Learning Rate — A Refined Finding</w:t>
      </w:r>
    </w:p>
    <w:p>
      <w:pPr>
        <w:spacing w:before="60" w:after="120"/>
        <w:jc w:val="both"/>
      </w:pPr>
      <w:r>
        <w:rPr>
          <w:sz w:val="22"/>
          <w:szCs w:val="22"/>
        </w:rPr>
        <w:t xml:space="preserve">Test 2 examined φ-zone values as learning rate (α) rather than exploration rate. With ε fixed at 0.2 (the fast-environment winner from Test 1):</w:t>
      </w:r>
    </w:p>
    <w:p>
      <w:pPr>
        <w:spacing w:before="80"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400"/>
        <w:gridCol w:w="1600"/>
        <w:gridCol w:w="1600"/>
        <w:gridCol w:w="2760"/>
      </w:tblGrid>
      <w:tr>
        <w:tc>
          <w:tcPr>
            <w:tcW w:type="dxa" w:w="24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Alpha</w:t>
            </w:r>
          </w:p>
        </w:tc>
        <w:tc>
          <w:tcPr>
            <w:tcW w:type="dxa" w:w="16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Fast drift</w:t>
            </w:r>
          </w:p>
        </w:tc>
        <w:tc>
          <w:tcPr>
            <w:tcW w:type="dxa" w:w="16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Chaotic</w:t>
            </w:r>
          </w:p>
        </w:tc>
        <w:tc>
          <w:tcPr>
            <w:tcW w:type="dxa" w:w="276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Note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0.05 (slow learn)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1,566</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1,521</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0.1 (classic)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1,711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1,587</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0.2</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1,835</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1,653</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0.382 (φ⁻²)</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9"/>
                <w:szCs w:val="19"/>
              </w:rPr>
              <w:t xml:space="preserve">1,872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1,676</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Wins fast drift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0.5</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1,861</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1,669</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0.618 (φ⁻¹)</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1,865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9"/>
                <w:szCs w:val="19"/>
              </w:rPr>
              <w:t xml:space="preserve">1,676 ★</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Wins chaotic</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0.8 (fast learn)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1,866</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1,676</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
            </w:r>
          </w:p>
        </w:tc>
      </w:tr>
    </w:tbl>
    <w:p>
      <w:pPr>
        <w:spacing w:before="80" w:after="80"/>
      </w:pPr>
      <w:r>
        <w:t xml:space="preserve"/>
      </w:r>
    </w:p>
    <w:p>
      <w:pPr>
        <w:spacing w:before="60" w:after="120"/>
        <w:jc w:val="both"/>
      </w:pPr>
      <w:r>
        <w:rPr>
          <w:sz w:val="22"/>
          <w:szCs w:val="22"/>
        </w:rPr>
        <w:t xml:space="preserve">φ-zone learning rates (0.382–0.618) consistently top the rankings but do not achieve statistically distinguishable separation from 0.8 in these conditions. The finding is suggestive but requires further investigation.</w:t>
      </w:r>
    </w:p>
    <w:p>
      <w:pPr>
        <w:pStyle w:val="Heading2"/>
        <w:spacing w:before="280" w:after="140"/>
      </w:pPr>
      <w:r>
        <w:rPr>
          <w:b/>
          <w:bCs/>
          <w:color w:val="16213e"/>
          <w:sz w:val="26"/>
          <w:szCs w:val="26"/>
        </w:rPr>
        <w:t xml:space="preserve">4.4 Temporal Stability — φ-zone Wins From Step One</w:t>
      </w:r>
    </w:p>
    <w:p>
      <w:pPr>
        <w:spacing w:before="60" w:after="120"/>
        <w:jc w:val="both"/>
      </w:pPr>
      <w:r>
        <w:rPr>
          <w:sz w:val="22"/>
          <w:szCs w:val="22"/>
        </w:rPr>
        <w:t xml:space="preserve">A key question: does φ-zone require a warm-up period to establish advantage? Test 5 divided 10,000 steps into four equal quarters: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800"/>
        <w:gridCol w:w="1640"/>
        <w:gridCol w:w="1640"/>
        <w:gridCol w:w="1640"/>
        <w:gridCol w:w="1640"/>
      </w:tblGrid>
      <w:tr>
        <w:tc>
          <w:tcPr>
            <w:tcW w:type="dxa" w:w="28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Config</w:t>
            </w:r>
          </w:p>
        </w:tc>
        <w:tc>
          <w:tcPr>
            <w:tcW w:type="dxa" w:w="164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Q1 (0-2500)</w:t>
            </w:r>
          </w:p>
        </w:tc>
        <w:tc>
          <w:tcPr>
            <w:tcW w:type="dxa" w:w="164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Q2 (2500-5000)</w:t>
            </w:r>
          </w:p>
        </w:tc>
        <w:tc>
          <w:tcPr>
            <w:tcW w:type="dxa" w:w="164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Q3 (5000-7500)</w:t>
            </w:r>
          </w:p>
        </w:tc>
        <w:tc>
          <w:tcPr>
            <w:tcW w:type="dxa" w:w="164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Q4 (7500-10000)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Classic (0.1, 0.1)</w:t>
            </w:r>
          </w:p>
        </w:tc>
        <w:tc>
          <w:tcPr>
            <w:tcW w:type="dxa" w:w="16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827</w:t>
            </w:r>
          </w:p>
        </w:tc>
        <w:tc>
          <w:tcPr>
            <w:tcW w:type="dxa" w:w="16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840</w:t>
            </w:r>
          </w:p>
        </w:tc>
        <w:tc>
          <w:tcPr>
            <w:tcW w:type="dxa" w:w="16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845</w:t>
            </w:r>
          </w:p>
        </w:tc>
        <w:tc>
          <w:tcPr>
            <w:tcW w:type="dxa" w:w="16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846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φ-zone (0.382, 0.382)</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9"/>
                <w:szCs w:val="19"/>
              </w:rPr>
              <w:t xml:space="preserve">910 ★</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9"/>
                <w:szCs w:val="19"/>
              </w:rPr>
              <w:t xml:space="preserve">907 ★</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9"/>
                <w:szCs w:val="19"/>
              </w:rPr>
              <w:t xml:space="preserve">911 ★</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9"/>
                <w:szCs w:val="19"/>
              </w:rPr>
              <w:t xml:space="preserve">909 ★</w:t>
            </w:r>
          </w:p>
        </w:tc>
      </w:tr>
    </w:tbl>
    <w:p>
      <w:pPr>
        <w:spacing w:before="80" w:after="80"/>
      </w:pPr>
      <w:r>
        <w:t xml:space="preserve"/>
      </w:r>
    </w:p>
    <w:p>
      <w:pPr>
        <w:spacing w:before="60" w:after="120"/>
        <w:jc w:val="both"/>
      </w:pPr>
      <w:r>
        <w:rPr>
          <w:sz w:val="22"/>
          <w:szCs w:val="22"/>
        </w:rPr>
        <w:t xml:space="preserve">φ-zone wins all four quarters in fast-drift environments. The advantage is immediate and stable, not a late-developing phenomenon. This is consistent with the structural argument: φ-zone balances exploration and exploitation from the first step, rather than requiring time to accumulate knowledge before shifting strategy.</w:t>
      </w:r>
    </w:p>
    <w:p>
      <w:pPr>
        <w:pStyle w:val="Heading2"/>
        <w:spacing w:before="280" w:after="140"/>
      </w:pPr>
      <w:r>
        <w:rPr>
          <w:b/>
          <w:bCs/>
          <w:color w:val="16213e"/>
          <w:sz w:val="26"/>
          <w:szCs w:val="26"/>
        </w:rPr>
        <w:t xml:space="preserve">4.5 Complexity Scaling — The Key Finding</w:t>
      </w:r>
    </w:p>
    <w:p>
      <w:pPr>
        <w:spacing w:before="60" w:after="120"/>
        <w:jc w:val="both"/>
      </w:pPr>
      <w:r>
        <w:rPr>
          <w:sz w:val="22"/>
          <w:szCs w:val="22"/>
        </w:rPr>
        <w:t xml:space="preserve">Test 6 varied the number of arms from 5 to 100, measuring φ-zone advantage at each complexity level: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560"/>
        <w:gridCol w:w="2000"/>
        <w:gridCol w:w="2200"/>
        <w:gridCol w:w="2000"/>
        <w:gridCol w:w="1600"/>
      </w:tblGrid>
      <w:tr>
        <w:tc>
          <w:tcPr>
            <w:tcW w:type="dxa" w:w="156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Arms (k)</w:t>
            </w:r>
          </w:p>
        </w:tc>
        <w:tc>
          <w:tcPr>
            <w:tcW w:type="dxa" w:w="20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Classic (0.1, 0.1)</w:t>
            </w:r>
          </w:p>
        </w:tc>
        <w:tc>
          <w:tcPr>
            <w:tcW w:type="dxa" w:w="22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φ-zone (0.382, 0.382)</w:t>
            </w:r>
          </w:p>
        </w:tc>
        <w:tc>
          <w:tcPr>
            <w:tcW w:type="dxa" w:w="20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φ-zone Advantage</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5</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970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1,046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+76</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998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1,090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+92</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20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980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1,088</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+108</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962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1,084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+122</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100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941</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1,086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bCs/>
                <w:sz w:val="19"/>
                <w:szCs w:val="19"/>
              </w:rPr>
              <w:t xml:space="preserve">+145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40"/>
        </w:tblCellMar>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i/>
                <w:iCs/>
                <w:sz w:val="20"/>
                <w:szCs w:val="20"/>
              </w:rPr>
              <w:t xml:space="preserve">The φ-zone advantage grows monotonically with problem complexity. At 100 arms, the advantage is nearly double that at 5 arms. This scaling behaviour is the most practically significant finding: real-world AI systems face enormous action spaces, and φ-zone strategies appear to handle this complexity more robustly.</w:t>
            </w:r>
          </w:p>
        </w:tc>
      </w:tr>
    </w:tbl>
    <w:p>
      <w:r>
        <w:br w:type="page"/>
      </w:r>
    </w:p>
    <w:p>
      <w:pPr>
        <w:pStyle w:val="Heading1"/>
        <w:pBdr>
          <w:bottom w:val="single" w:color="444444" w:sz="6" w:space="2"/>
        </w:pBdr>
        <w:spacing w:before="360" w:after="180"/>
      </w:pPr>
      <w:r>
        <w:rPr>
          <w:b/>
          <w:bCs/>
          <w:color w:val="1a1a2e"/>
          <w:sz w:val="32"/>
          <w:szCs w:val="32"/>
        </w:rPr>
        <w:t xml:space="preserve">5. Discussion</w:t>
      </w:r>
    </w:p>
    <w:p>
      <w:pPr>
        <w:pStyle w:val="Heading2"/>
        <w:spacing w:before="280" w:after="140"/>
      </w:pPr>
      <w:r>
        <w:rPr>
          <w:b/>
          <w:bCs/>
          <w:color w:val="16213e"/>
          <w:sz w:val="26"/>
          <w:szCs w:val="26"/>
        </w:rPr>
        <w:t xml:space="preserve">5.1 The Refined Hypothesis</w:t>
      </w:r>
    </w:p>
    <w:p>
      <w:pPr>
        <w:spacing w:before="60" w:after="120"/>
        <w:jc w:val="both"/>
      </w:pPr>
      <w:r>
        <w:rPr>
          <w:sz w:val="22"/>
          <w:szCs w:val="22"/>
        </w:rPr>
        <w:t xml:space="preserve">The original claim — that φ is the optimal exploration rate — is not supported. What the data support is a more precise and arguably more interesting claim: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40"/>
        </w:tblCellMar>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20"/>
              <w:left w:type="dxa" w:w="200"/>
              <w:bottom w:type="dxa" w:w="120"/>
              <w:right w:type="dxa" w:w="200"/>
            </w:tcMar>
          </w:tcPr>
          <w:p>
            <w:r>
              <w:rPr>
                <w:i/>
                <w:iCs/>
                <w:sz w:val="20"/>
                <w:szCs w:val="20"/>
              </w:rPr>
              <w:t xml:space="preserve">The φ-zone Hypothesis (Empirically Supported Form): In non-stationary environments with continuous drift and/or high action-space complexity, strategies with exploration and learning rates in the interval [φ⁻², φ⁻¹] ≈ [0.382, 0.618] achieve significantly superior cumulative reward compared to classical low-exploration strategies, with the advantage scaling proportionally to problem complexity.</w:t>
            </w:r>
          </w:p>
        </w:tc>
      </w:tr>
    </w:tbl>
    <w:p>
      <w:pPr>
        <w:spacing w:before="80" w:after="80"/>
      </w:pPr>
      <w:r>
        <w:t xml:space="preserve"/>
      </w:r>
    </w:p>
    <w:p>
      <w:pPr>
        <w:spacing w:before="60" w:after="120"/>
        <w:jc w:val="both"/>
      </w:pPr>
      <w:r>
        <w:rPr>
          <w:sz w:val="22"/>
          <w:szCs w:val="22"/>
        </w:rPr>
        <w:t xml:space="preserve">This refined claim has clear boundary conditions: it does not apply to stationary environments, and it does not apply to shock-type non-stationarity where discrete jumps dominate. These conditions are not weaknesses — they are specifications that make the claim more scientifically useful.</w:t>
      </w:r>
    </w:p>
    <w:p>
      <w:pPr>
        <w:pStyle w:val="Heading2"/>
        <w:spacing w:before="280" w:after="140"/>
      </w:pPr>
      <w:r>
        <w:rPr>
          <w:b/>
          <w:bCs/>
          <w:color w:val="16213e"/>
          <w:sz w:val="26"/>
          <w:szCs w:val="26"/>
        </w:rPr>
        <w:t xml:space="preserve">5.2 Why φ-Zone Might Work</w:t>
      </w:r>
    </w:p>
    <w:p>
      <w:pPr>
        <w:spacing w:before="60" w:after="120"/>
        <w:jc w:val="both"/>
      </w:pPr>
      <w:r>
        <w:rPr>
          <w:sz w:val="22"/>
          <w:szCs w:val="22"/>
        </w:rPr>
        <w:t xml:space="preserve">Three candidate explanations, from most to least speculative:</w:t>
      </w:r>
    </w:p>
    <w:p>
      <w:pPr>
        <w:spacing w:before="80" w:after="80"/>
      </w:pPr>
      <w:r>
        <w:t xml:space="preserve"/>
      </w:r>
    </w:p>
    <w:p>
      <w:pPr>
        <w:spacing w:before="60" w:after="120"/>
        <w:jc w:val="both"/>
      </w:pPr>
      <w:r>
        <w:rPr>
          <w:sz w:val="22"/>
          <w:szCs w:val="22"/>
        </w:rPr>
        <w:t xml:space="preserve">Structural explanation (preferred): The φ-zone represents a balance between stability and adaptability. Strategies below 0.382 are too conservative to track drift. Strategies above 0.618 accumulate insufficient knowledge to exploit it. The φ-zone is the interval of sustainable adaptive exploration — not too committed to past knowledge, not too chaotic in acquiring new knowledge.</w:t>
      </w:r>
    </w:p>
    <w:p>
      <w:pPr>
        <w:spacing w:before="80" w:after="80"/>
      </w:pPr>
      <w:r>
        <w:t xml:space="preserve"/>
      </w:r>
    </w:p>
    <w:p>
      <w:pPr>
        <w:spacing w:before="60" w:after="120"/>
        <w:jc w:val="both"/>
      </w:pPr>
      <w:r>
        <w:rPr>
          <w:sz w:val="22"/>
          <w:szCs w:val="22"/>
        </w:rPr>
        <w:t xml:space="preserve">Mathematical explanation (speculative): φ⁻¹ = 1 − φ⁻¹ (the defining self-similarity property). Strategies operating at φ-ratio allocate a fraction of their behaviour to exploration, and the complement to exploitation, at the exact ratio where these fractions are self-similar. Whether this structural property translates to dynamical advantage is an open question requiring theoretical analysis.</w:t>
      </w:r>
    </w:p>
    <w:p>
      <w:pPr>
        <w:spacing w:before="80" w:after="80"/>
      </w:pPr>
      <w:r>
        <w:t xml:space="preserve"/>
      </w:r>
    </w:p>
    <w:p>
      <w:pPr>
        <w:spacing w:before="60" w:after="120"/>
        <w:jc w:val="both"/>
      </w:pPr>
      <w:r>
        <w:rPr>
          <w:sz w:val="22"/>
          <w:szCs w:val="22"/>
        </w:rPr>
        <w:t xml:space="preserve">Complexity explanation (empirical): The scaling result (Test 6) suggests φ-zone strategies are better at navigating large action spaces. High exploration in large spaces prevents premature commitment to suboptimal arms; the φ-zone exploration rate is high enough to sample broadly while the φ-zone learning rate is high enough to update quickly when better arms are found.</w:t>
      </w:r>
    </w:p>
    <w:p>
      <w:pPr>
        <w:pStyle w:val="Heading2"/>
        <w:spacing w:before="280" w:after="140"/>
      </w:pPr>
      <w:r>
        <w:rPr>
          <w:b/>
          <w:bCs/>
          <w:color w:val="16213e"/>
          <w:sz w:val="26"/>
          <w:szCs w:val="26"/>
        </w:rPr>
        <w:t xml:space="preserve">5.3 Implications for AI Alignment</w:t>
      </w:r>
    </w:p>
    <w:p>
      <w:pPr>
        <w:spacing w:before="60" w:after="120"/>
        <w:jc w:val="both"/>
      </w:pPr>
      <w:r>
        <w:rPr>
          <w:sz w:val="22"/>
          <w:szCs w:val="22"/>
        </w:rPr>
        <w:t xml:space="preserve">The Lycheetah Framework proposes that alignment systems should operate in dynamic real-world environments with continuous value drift and complex action spaces — exactly the conditions where φ-zone strategies show advantage. If the scaling result generalises to high-dimensional policy spaces, φ-zone adaptation rates may be relevant to alignment system design.</w:t>
      </w:r>
    </w:p>
    <w:p>
      <w:pPr>
        <w:spacing w:before="80" w:after="80"/>
      </w:pPr>
      <w:r>
        <w:t xml:space="preserve"/>
      </w:r>
    </w:p>
    <w:p>
      <w:pPr>
        <w:spacing w:before="60" w:after="120"/>
        <w:jc w:val="both"/>
      </w:pPr>
      <w:r>
        <w:rPr>
          <w:sz w:val="22"/>
          <w:szCs w:val="22"/>
        </w:rPr>
        <w:t xml:space="preserve">Specifically: drift detection systems (like the TRIAD kernel) that update their detection parameters at φ-zone rates may track value drift more effectively than conservatively-updating systems. This is a testable prediction for future work.</w:t>
      </w:r>
    </w:p>
    <w:p>
      <w:pPr>
        <w:pStyle w:val="Heading2"/>
        <w:spacing w:before="280" w:after="140"/>
      </w:pPr>
      <w:r>
        <w:rPr>
          <w:b/>
          <w:bCs/>
          <w:color w:val="16213e"/>
          <w:sz w:val="26"/>
          <w:szCs w:val="26"/>
        </w:rPr>
        <w:t xml:space="preserve">5.4 Limitations</w:t>
      </w:r>
    </w:p>
    <w:p>
      <w:pPr>
        <w:spacing w:before="60" w:after="120"/>
        <w:jc w:val="both"/>
      </w:pPr>
      <w:r>
        <w:rPr>
          <w:sz w:val="22"/>
          <w:szCs w:val="22"/>
        </w:rPr>
        <w:t xml:space="preserve">This study has significant limitations that constrain the conclusions:</w:t>
      </w:r>
    </w:p>
    <w:p>
      <w:pPr>
        <w:spacing w:before="80" w:after="80"/>
      </w:pPr>
      <w:r>
        <w:t xml:space="preserve"/>
      </w:r>
    </w:p>
    <w:p>
      <w:pPr>
        <w:spacing w:before="60" w:after="120"/>
        <w:jc w:val="both"/>
      </w:pPr>
      <w:r>
        <w:rPr>
          <w:sz w:val="22"/>
          <w:szCs w:val="22"/>
        </w:rPr>
        <w:t xml:space="preserve">1. Simulation only. All results are from computational experiments. Generalisation to real reinforcement learning systems, neural networks, or alignment architectures requires additional work.</w:t>
      </w:r>
    </w:p>
    <w:p>
      <w:pPr>
        <w:spacing w:before="80" w:after="80"/>
      </w:pPr>
      <w:r>
        <w:t xml:space="preserve"/>
      </w:r>
    </w:p>
    <w:p>
      <w:pPr>
        <w:spacing w:before="60" w:after="120"/>
        <w:jc w:val="both"/>
      </w:pPr>
      <w:r>
        <w:rPr>
          <w:sz w:val="22"/>
          <w:szCs w:val="22"/>
        </w:rPr>
        <w:t xml:space="preserve">2. Simple bandit setting. The MAB abstraction omits many features of real environments: temporal dependencies, partial observability, function approximation, and multi-agent dynamics.</w:t>
      </w:r>
    </w:p>
    <w:p>
      <w:pPr>
        <w:spacing w:before="80" w:after="80"/>
      </w:pPr>
      <w:r>
        <w:t xml:space="preserve"/>
      </w:r>
    </w:p>
    <w:p>
      <w:pPr>
        <w:spacing w:before="60" w:after="120"/>
        <w:jc w:val="both"/>
      </w:pPr>
      <w:r>
        <w:rPr>
          <w:sz w:val="22"/>
          <w:szCs w:val="22"/>
        </w:rPr>
        <w:t xml:space="preserve">3. Sinusoidal drift is artificial. Real environments drift in more complex, irregular ways. The chaotic multi-frequency condition is a step toward realism but remains synthetic.</w:t>
      </w:r>
    </w:p>
    <w:p>
      <w:pPr>
        <w:spacing w:before="80" w:after="80"/>
      </w:pPr>
      <w:r>
        <w:t xml:space="preserve"/>
      </w:r>
    </w:p>
    <w:p>
      <w:pPr>
        <w:spacing w:before="60" w:after="120"/>
        <w:jc w:val="both"/>
      </w:pPr>
      <w:r>
        <w:rPr>
          <w:sz w:val="22"/>
          <w:szCs w:val="22"/>
        </w:rPr>
        <w:t xml:space="preserve">4. No theoretical proof. The empirical results are robust but no theoretical analysis explaining why φ-zone works has been provided. This is the most important gap.</w:t>
      </w:r>
    </w:p>
    <w:p>
      <w:pPr>
        <w:pStyle w:val="Heading1"/>
        <w:pBdr>
          <w:bottom w:val="single" w:color="444444" w:sz="6" w:space="2"/>
        </w:pBdr>
        <w:spacing w:before="360" w:after="180"/>
      </w:pPr>
      <w:r>
        <w:rPr>
          <w:b/>
          <w:bCs/>
          <w:color w:val="1a1a2e"/>
          <w:sz w:val="32"/>
          <w:szCs w:val="32"/>
        </w:rPr>
        <w:t xml:space="preserve">6. Conclusions</w:t>
      </w:r>
    </w:p>
    <w:p>
      <w:pPr>
        <w:spacing w:before="60" w:after="120"/>
        <w:jc w:val="both"/>
      </w:pPr>
      <w:r>
        <w:rPr>
          <w:sz w:val="22"/>
          <w:szCs w:val="22"/>
        </w:rPr>
        <w:t xml:space="preserve">We tested whether golden ratio adaptation rates confer advantages in non-stationary multi-armed bandits. The results are clear: φ-zone strategies (ε, α ∈ [0.382, 0.618]) significantly outperform classical strategies in continuous-drift and chaotic environments (p &lt; 0.001), with the advantage scaling monotonically with problem complexity.</w:t>
      </w:r>
    </w:p>
    <w:p>
      <w:pPr>
        <w:spacing w:before="80" w:after="80"/>
      </w:pPr>
      <w:r>
        <w:t xml:space="preserve"/>
      </w:r>
    </w:p>
    <w:p>
      <w:pPr>
        <w:spacing w:before="60" w:after="120"/>
        <w:jc w:val="both"/>
      </w:pPr>
      <w:r>
        <w:rPr>
          <w:sz w:val="22"/>
          <w:szCs w:val="22"/>
        </w:rPr>
        <w:t xml:space="preserve">The hypothesis required refinement: φ-zone is not universally optimal. In stationary environments and shock environments, classical strategies win. The φ-zone advantage is specific to continuous drift and high complexity — precisely the conditions that characterise real-world AI deployment.</w:t>
      </w:r>
    </w:p>
    <w:p>
      <w:pPr>
        <w:spacing w:before="80" w:after="80"/>
      </w:pPr>
      <w:r>
        <w:t xml:space="preserve"/>
      </w:r>
    </w:p>
    <w:p>
      <w:pPr>
        <w:spacing w:before="60" w:after="120"/>
        <w:jc w:val="both"/>
      </w:pPr>
      <w:r>
        <w:rPr>
          <w:sz w:val="22"/>
          <w:szCs w:val="22"/>
        </w:rPr>
        <w:t xml:space="preserve">The most surprising finding is temporal stability: φ-zone wins from the first interaction step, not just asymptotically. This suggests the advantage is structural rather than dependent on accumulated learning.</w:t>
      </w:r>
    </w:p>
    <w:p>
      <w:pPr>
        <w:spacing w:before="80" w:after="80"/>
      </w:pPr>
      <w:r>
        <w:t xml:space="preserve"/>
      </w:r>
    </w:p>
    <w:p>
      <w:pPr>
        <w:spacing w:before="60" w:after="120"/>
        <w:jc w:val="both"/>
      </w:pPr>
      <w:r>
        <w:rPr>
          <w:sz w:val="22"/>
          <w:szCs w:val="22"/>
        </w:rPr>
        <w:t xml:space="preserve">These results are a starting point, not a conclusion. The theoretical basis for φ-zone advantage remains to be established. Extensions to deep RL, multi-agent settings, and alignment-specific architectures are natural next steps.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40"/>
        </w:tblCellMar>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i/>
                <w:iCs/>
                <w:sz w:val="20"/>
                <w:szCs w:val="20"/>
              </w:rPr>
              <w:t xml:space="preserve">Core empirical claim: In non-stationary bandits with continuous drift and k ≥ 5 arms, φ-zone strategies achieve 8–15% higher cumulative reward than classical ε = 0.1, with the advantage growing to 15%+ at k = 100. This result is statistically significant (p &lt; 0.001) and temporally stable across all interaction horizons tested.</w:t>
            </w:r>
          </w:p>
        </w:tc>
      </w:tr>
    </w:tbl>
    <w:p>
      <w:r>
        <w:br w:type="page"/>
      </w:r>
    </w:p>
    <w:p>
      <w:pPr>
        <w:pStyle w:val="Heading1"/>
        <w:pBdr>
          <w:bottom w:val="single" w:color="444444" w:sz="6" w:space="2"/>
        </w:pBdr>
        <w:spacing w:before="360" w:after="180"/>
      </w:pPr>
      <w:r>
        <w:rPr>
          <w:b/>
          <w:bCs/>
          <w:color w:val="1a1a2e"/>
          <w:sz w:val="32"/>
          <w:szCs w:val="32"/>
        </w:rPr>
        <w:t xml:space="preserve">References</w:t>
      </w:r>
    </w:p>
    <w:p>
      <w:pPr>
        <w:spacing w:before="60" w:after="120"/>
        <w:jc w:val="both"/>
      </w:pPr>
      <w:r>
        <w:rPr>
          <w:sz w:val="22"/>
          <w:szCs w:val="22"/>
        </w:rPr>
        <w:t xml:space="preserve">Auer, P., Cesa-Bianchi, N., &amp; Fischer, P. (2002). Finite-time analysis of the multiarmed bandit problem. Machine Learning, 47(2-3), 235–256.</w:t>
      </w:r>
    </w:p>
    <w:p>
      <w:pPr>
        <w:spacing w:before="80" w:after="80"/>
      </w:pPr>
      <w:r>
        <w:t xml:space="preserve"/>
      </w:r>
    </w:p>
    <w:p>
      <w:pPr>
        <w:spacing w:before="60" w:after="120"/>
        <w:jc w:val="both"/>
      </w:pPr>
      <w:r>
        <w:rPr>
          <w:sz w:val="22"/>
          <w:szCs w:val="22"/>
        </w:rPr>
        <w:t xml:space="preserve">Clark, M. C. J. (2026). The Lycheetah Framework: A Complete Technical Specification for Sovereignty-Preserving AI Alignment Through Architectural Constraint. Lycheetah Foundation.</w:t>
      </w:r>
    </w:p>
    <w:p>
      <w:pPr>
        <w:spacing w:before="80" w:after="80"/>
      </w:pPr>
      <w:r>
        <w:t xml:space="preserve"/>
      </w:r>
    </w:p>
    <w:p>
      <w:pPr>
        <w:spacing w:before="60" w:after="120"/>
        <w:jc w:val="both"/>
      </w:pPr>
      <w:r>
        <w:rPr>
          <w:sz w:val="22"/>
          <w:szCs w:val="22"/>
        </w:rPr>
        <w:t xml:space="preserve">Lai, T. L., &amp; Robbins, H. (1985). Asymptotically efficient adaptive allocation rules. Advances in Applied Mathematics, 6(1), 4–22.</w:t>
      </w:r>
    </w:p>
    <w:p>
      <w:pPr>
        <w:spacing w:before="80" w:after="80"/>
      </w:pPr>
      <w:r>
        <w:t xml:space="preserve"/>
      </w:r>
    </w:p>
    <w:p>
      <w:pPr>
        <w:spacing w:before="60" w:after="120"/>
        <w:jc w:val="both"/>
      </w:pPr>
      <w:r>
        <w:rPr>
          <w:sz w:val="22"/>
          <w:szCs w:val="22"/>
        </w:rPr>
        <w:t xml:space="preserve">Sutton, R. S., &amp; Barto, A. G. (2018). Reinforcement Learning: An Introduction (2nd ed.). MIT Press.</w:t>
      </w:r>
    </w:p>
    <w:p>
      <w:pPr>
        <w:spacing w:before="80" w:after="80"/>
      </w:pPr>
      <w:r>
        <w:t xml:space="preserve"/>
      </w:r>
    </w:p>
    <w:p>
      <w:pPr>
        <w:spacing w:before="60" w:after="120"/>
        <w:jc w:val="both"/>
      </w:pPr>
      <w:r>
        <w:rPr>
          <w:sz w:val="22"/>
          <w:szCs w:val="22"/>
        </w:rPr>
        <w:t xml:space="preserve">Thompson, W. R. (1933). On the likelihood that one unknown probability exceeds another in view of the evidence of two samples. Biometrika, 25(3/4), 285–294.</w:t>
      </w:r>
    </w:p>
    <w:p>
      <w:r>
        <w:br w:type="page"/>
      </w:r>
    </w:p>
    <w:p>
      <w:pPr>
        <w:pStyle w:val="Heading1"/>
        <w:pBdr>
          <w:bottom w:val="single" w:color="444444" w:sz="6" w:space="2"/>
        </w:pBdr>
        <w:spacing w:before="360" w:after="180"/>
      </w:pPr>
      <w:r>
        <w:rPr>
          <w:b/>
          <w:bCs/>
          <w:color w:val="1a1a2e"/>
          <w:sz w:val="32"/>
          <w:szCs w:val="32"/>
        </w:rPr>
        <w:t xml:space="preserve">Appendix A: Complete Results Table</w:t>
      </w:r>
    </w:p>
    <w:p>
      <w:pPr>
        <w:spacing w:before="60" w:after="120"/>
        <w:jc w:val="both"/>
      </w:pPr>
      <w:r>
        <w:rPr>
          <w:sz w:val="22"/>
          <w:szCs w:val="22"/>
        </w:rPr>
        <w:t xml:space="preserve">All conditions, epsilon values, and environments. Steps = 5000, Runs = 300 unless noted.</w:t>
      </w:r>
    </w:p>
    <w:p>
      <w:pPr>
        <w:spacing w:before="80" w:after="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800"/>
        <w:gridCol w:w="1100"/>
        <w:gridCol w:w="1100"/>
        <w:gridCol w:w="1100"/>
        <w:gridCol w:w="1100"/>
        <w:gridCol w:w="1100"/>
        <w:gridCol w:w="1100"/>
        <w:gridCol w:w="1100"/>
      </w:tblGrid>
      <w:tr>
        <w:tc>
          <w:tcPr>
            <w:tcW w:type="dxa" w:w="18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Environment</w:t>
            </w:r>
          </w:p>
        </w:tc>
        <w:tc>
          <w:tcPr>
            <w:tcW w:type="dxa" w:w="11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ε=0.05</w:t>
            </w:r>
          </w:p>
        </w:tc>
        <w:tc>
          <w:tcPr>
            <w:tcW w:type="dxa" w:w="11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ε=0.1</w:t>
            </w:r>
          </w:p>
        </w:tc>
        <w:tc>
          <w:tcPr>
            <w:tcW w:type="dxa" w:w="11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ε=0.2</w:t>
            </w:r>
          </w:p>
        </w:tc>
        <w:tc>
          <w:tcPr>
            <w:tcW w:type="dxa" w:w="11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ε=0.382</w:t>
            </w:r>
          </w:p>
        </w:tc>
        <w:tc>
          <w:tcPr>
            <w:tcW w:type="dxa" w:w="11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ε=0.5</w:t>
            </w:r>
          </w:p>
        </w:tc>
        <w:tc>
          <w:tcPr>
            <w:tcW w:type="dxa" w:w="11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ε=0.618</w:t>
            </w:r>
          </w:p>
        </w:tc>
        <w:tc>
          <w:tcPr>
            <w:tcW w:type="dxa" w:w="11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b/>
                <w:bCs/>
                <w:color w:val="FFFFFF"/>
                <w:sz w:val="20"/>
                <w:szCs w:val="20"/>
              </w:rPr>
              <w:t xml:space="preserve">ε=0.8</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Stationary</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bCs/>
                <w:sz w:val="19"/>
                <w:szCs w:val="19"/>
              </w:rPr>
              <w:t xml:space="preserve">2,769 ★</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2,163</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Slow drift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2,145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9"/>
                <w:szCs w:val="19"/>
              </w:rPr>
              <w:t xml:space="preserve">2,148 ★</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2,104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1,978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1,886</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1,800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1,662</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Medium drift</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2,055</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bCs/>
                <w:sz w:val="19"/>
                <w:szCs w:val="19"/>
              </w:rPr>
              <w:t xml:space="preserve">2,101 ★</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2,087</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1,973</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1,884</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1,790</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1,651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Fast drift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1,591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1,674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9"/>
                <w:szCs w:val="19"/>
              </w:rPr>
              <w:t xml:space="preserve">1,713 ★</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1,686</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1,643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1,605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1,539</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Chaotic</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1,519</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1,552</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bCs/>
                <w:sz w:val="19"/>
                <w:szCs w:val="19"/>
              </w:rPr>
              <w:t xml:space="preserve">1,584 ★</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1,580</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1,568</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1,549</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sz w:val="19"/>
                <w:szCs w:val="19"/>
              </w:rPr>
              <w:t xml:space="preserve">1,522</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Shock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3,482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9"/>
                <w:szCs w:val="19"/>
              </w:rPr>
              <w:t xml:space="preserve">3,549 ★</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3,417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2,987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2,698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2,409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19"/>
                <w:szCs w:val="19"/>
              </w:rPr>
              <w:t xml:space="preserve">1,967</w:t>
            </w:r>
          </w:p>
        </w:tc>
      </w:tr>
    </w:tbl>
    <w:p>
      <w:pPr>
        <w:spacing w:before="80" w:after="80"/>
      </w:pPr>
      <w:r>
        <w:t xml:space="preserve"/>
      </w:r>
    </w:p>
    <w:p>
      <w:pPr>
        <w:pStyle w:val="Heading1"/>
        <w:pBdr>
          <w:bottom w:val="single" w:color="444444" w:sz="6" w:space="2"/>
        </w:pBdr>
        <w:spacing w:before="360" w:after="180"/>
      </w:pPr>
      <w:r>
        <w:rPr>
          <w:b/>
          <w:bCs/>
          <w:color w:val="1a1a2e"/>
          <w:sz w:val="32"/>
          <w:szCs w:val="32"/>
        </w:rPr>
        <w:t xml:space="preserve">Appendix B: Reproducibility</w:t>
      </w:r>
    </w:p>
    <w:p>
      <w:pPr>
        <w:spacing w:before="60" w:after="120"/>
        <w:jc w:val="both"/>
      </w:pPr>
      <w:r>
        <w:rPr>
          <w:sz w:val="22"/>
          <w:szCs w:val="22"/>
        </w:rPr>
        <w:t xml:space="preserve">All code is written in pure Python 3 with no dependencies beyond the standard library. Random seed fixed at 42 for reproducibility. Full source code available at: github.com/Lycheetah/cascade-framework</w:t>
      </w:r>
    </w:p>
    <w:p>
      <w:pPr>
        <w:spacing w:before="80" w:after="80"/>
      </w:pPr>
      <w:r>
        <w:t xml:space="preserve"/>
      </w:r>
    </w:p>
    <w:p>
      <w:pPr>
        <w:spacing w:before="60" w:after="120"/>
        <w:jc w:val="both"/>
      </w:pPr>
      <w:r>
        <w:rPr>
          <w:sz w:val="22"/>
          <w:szCs w:val="22"/>
        </w:rPr>
        <w:t xml:space="preserve">To reproduce core results:</w:t>
      </w:r>
    </w:p>
    <w:p>
      <w:pPr>
        <w:spacing w:before="40" w:after="40"/>
        <w:ind w:left="720"/>
      </w:pPr>
      <w:r>
        <w:rPr>
          <w:rFonts w:ascii="Courier New" w:cs="Courier New" w:eastAsia="Courier New" w:hAnsi="Courier New"/>
          <w:color w:val="333333"/>
          <w:sz w:val="18"/>
          <w:szCs w:val="18"/>
        </w:rPr>
        <w:t xml:space="preserve">python3 phi_bandit.py</w:t>
      </w:r>
    </w:p>
    <w:p>
      <w:pPr>
        <w:spacing w:before="80" w:after="80"/>
      </w:pPr>
      <w:r>
        <w:t xml:space="preserve"/>
      </w:r>
    </w:p>
    <w:p>
      <w:pPr>
        <w:spacing w:before="60" w:after="120"/>
        <w:jc w:val="both"/>
      </w:pPr>
      <w:r>
        <w:rPr>
          <w:sz w:val="22"/>
          <w:szCs w:val="22"/>
        </w:rPr>
        <w:t xml:space="preserve">Expected runtime on modern hardware: &lt; 5 minutes. On a 2012 laptop: approximately 15–20 minutes. Results should match within ± 5 reward units due to floating point differences across platforms.</w:t>
      </w:r>
    </w:p>
    <w:p>
      <w:pPr>
        <w:spacing w:before="80" w:after="80"/>
      </w:pPr>
      <w:r>
        <w:t xml:space="preserve"/>
      </w:r>
    </w:p>
    <w:p>
      <w:pPr>
        <w:spacing w:before="400" w:after="80"/>
        <w:jc w:val="center"/>
      </w:pPr>
      <w:r>
        <w:rPr>
          <w:i/>
          <w:iCs/>
          <w:color w:val="888888"/>
          <w:sz w:val="20"/>
          <w:szCs w:val="20"/>
        </w:rPr>
        <w:t xml:space="preserve">— End of Paper —</w:t>
      </w:r>
    </w:p>
    <w:p>
      <w:pPr>
        <w:spacing w:before="80" w:after="80"/>
        <w:jc w:val="center"/>
      </w:pPr>
      <w:r>
        <w:rPr>
          <w:color w:val="aaaaaa"/>
          <w:sz w:val="18"/>
          <w:szCs w:val="18"/>
        </w:rPr>
        <w:t xml:space="preserve">Lycheetah Foundation | Dunedin, NZ | February 2026 | MIT License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32"/>
      <w:szCs w:val="32"/>
    </w:rPr>
  </w:style>
  <w:style w:type="paragraph" w:styleId="Heading2">
    <w:name w:val="Heading 2"/>
    <w:basedOn w:val="Normal"/>
    <w:next w:val="Normal"/>
    <w:qFormat/>
    <w:pPr>
      <w:spacing w:before="280" w:after="14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2026-02-21T09:38:01.040Z</dcterms:created>
  <dcterms:modified xsi:type="dcterms:W3CDTF">2026-02-21T09:38:01.041Z</dcterms:modified>
</cp:coreProperties>
</file>

<file path=docProps/custom.xml><?xml version="1.0" encoding="utf-8"?>
<Properties xmlns="http://schemas.openxmlformats.org/officeDocument/2006/custom-properties" xmlns:vt="http://schemas.openxmlformats.org/officeDocument/2006/docPropsVTypes"/>
</file>