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C364E"/>
          <w:sz w:val="60"/>
        </w:rPr>
        <w:t>ANON POLITICIAN</w:t>
      </w:r>
    </w:p>
    <w:p>
      <w:pPr>
        <w:jc w:val="center"/>
      </w:pPr>
      <w:r>
        <w:rPr>
          <w:b/>
          <w:sz w:val="42"/>
        </w:rPr>
        <w:t>Founding Research Dossier</w:t>
      </w:r>
    </w:p>
    <w:p>
      <w:pPr>
        <w:jc w:val="center"/>
      </w:pPr>
      <w:r>
        <w:rPr>
          <w:i/>
        </w:rPr>
        <w:t>Charter • CASCADE knowledge architecture • AURA constitutional laboratory • Evaluation plan</w:t>
      </w:r>
    </w:p>
    <w:p>
      <w:pPr>
        <w:spacing w:before="560"/>
        <w:jc w:val="center"/>
      </w:pPr>
      <w:r>
        <w:t>Version 0.1 — Research foundation draft</w:t>
        <w:br/>
        <w:t>14 October 2026</w:t>
        <w:br/>
        <w:t>Scope: Aotearoa New Zealand, informed by international evidence</w:t>
      </w:r>
    </w:p>
    <w:p>
      <w:pPr>
        <w:spacing w:before="1000"/>
        <w:jc w:val="center"/>
      </w:pPr>
      <w:r>
        <w:rPr>
          <w:b/>
        </w:rPr>
        <w:t>Status: Founding proposal, not a validated system or policy endorsement</w:t>
      </w:r>
    </w:p>
    <w:p>
      <w:r>
        <w:br w:type="page"/>
      </w:r>
    </w:p>
    <w:p>
      <w:pPr>
        <w:pStyle w:val="Heading1"/>
      </w:pPr>
      <w:r>
        <w:t>Executive summary</w:t>
      </w:r>
    </w:p>
    <w:p>
      <w:r>
        <w:t>Anon Politician is proposed as an independent, evidence-led civic research project. Its purpose is to help people inspect political claims, understand the evidence behind public decisions, trace assumptions and dependencies, compare policy options, and correct errors openly. It is not a party, campaign, candidate-ranking service, or automated authority that tells people what to believe or how to vote.</w:t>
      </w:r>
    </w:p>
    <w:p>
      <w:r>
        <w:t>The project combines two ideas from the source document: AURA Protocol as a values-and-action constraint, and Pyramid Cascade Architecture (PCA), also described in the wider project context as CASCADE, as a structured knowledge system that records foundations, theories, edge claims and their dependencies. The core division is: AURA asks what should guide action; CASCADE tracks what is claimed, what supports it, what contradicts it, and what changes when evidence changes.</w:t>
      </w:r>
    </w:p>
    <w:p>
      <w:r>
        <w:t>The original 62-page Anon Politician.pdf contains an important early experiment narrative. It defines Foundation blocks F_001–F_004, Theory blocks T_001 and T_002, and an Edge block E_001 called the Decentralized Ecological Economics Protocol (DEEP). It claims a successful cascade and a “Pyramid Coherence Score: 0.98.” The PDF does not, in the material reviewed, supply a reproducible scoring formula, independently verifiable dataset, control comparison, preregistered protocol, or external replication sufficient to establish those claims as validated findings. This dossier therefore preserves them as historical claims and hypotheses, not as proven results.</w:t>
      </w:r>
    </w:p>
    <w:p>
      <w:r>
        <w:t>The founding strategy is to earn credibility through a transparent, bounded first use case, not through sweeping claims about “fixing politics.” The first version should deliver a public research charter, source ledger, evidence-block schema, dependency graph, AURA decision record, policy-review template, correction process, and a reproducible evaluation suite. The first policy investigation should be chosen only after a neutral scoping exercise that documents why the topic is tractable, consequential, and sufficiently evidenced.</w:t>
      </w:r>
    </w:p>
    <w:p>
      <w:r>
        <w:t>A New Zealand starting point is practical: Parliament describes select committees as a channel for public evidence and submissions; Treasury publishes CBAx guidance and the Living Standards Framework; the Public Service Commission sets integrity and political-neutrality standards; and the Parliamentary Commissioner for the Environment provides an independent environmental scrutiny model. These are existing institutions and tools to learn from, not evidence that one new architecture will outperform them. [1–5]</w:t>
      </w:r>
    </w:p>
    <w:p>
      <w:pPr>
        <w:pStyle w:val="Heading2"/>
      </w:pPr>
      <w:r>
        <w:t>What this dossier does and does not establish</w:t>
      </w:r>
    </w:p>
    <w:p>
      <w:pPr>
        <w:pStyle w:val="ListBullet"/>
        <w:spacing w:after="40"/>
      </w:pPr>
      <w:r>
        <w:t>Establishes: a proposed project charter, architecture, research protocol, risk register, test plan and staged work plan.</w:t>
      </w:r>
    </w:p>
    <w:p>
      <w:pPr>
        <w:pStyle w:val="ListBullet"/>
        <w:spacing w:after="40"/>
      </w:pPr>
      <w:r>
        <w:t>Documents: terminology and claims present in the original Anon Politician.pdf, with provenance labels.</w:t>
      </w:r>
    </w:p>
    <w:p>
      <w:pPr>
        <w:pStyle w:val="ListBullet"/>
        <w:spacing w:after="40"/>
      </w:pPr>
      <w:r>
        <w:t>Does not establish: that AURA metrics are valid measures, that CASCADE outperforms ordinary knowledge management, that DEEP is a proven policy, or that any political party or economic ideology is correct.</w:t>
      </w:r>
    </w:p>
    <w:p>
      <w:pPr>
        <w:pStyle w:val="ListBullet"/>
        <w:spacing w:after="40"/>
      </w:pPr>
      <w:r>
        <w:t>Does not recommend voting choices or score/rank political actors. It aims to support independent civic judgement.</w:t>
      </w:r>
    </w:p>
    <w:p>
      <w:pPr>
        <w:pStyle w:val="Heading1"/>
      </w:pPr>
      <w:r>
        <w:t>1. Project charter</w:t>
      </w:r>
    </w:p>
    <w:p>
      <w:pPr>
        <w:pStyle w:val="Heading2"/>
      </w:pPr>
      <w:r>
        <w:t>1.1 Mission</w:t>
      </w:r>
    </w:p>
    <w:p>
      <w:r>
        <w:t>Build an inspectable civic research system that makes public-policy reasoning easier to trace, challenge, compare and correct. It should help the public move from political assertion to questions that can be checked: What exactly is being claimed? What evidence supports it? What assumptions connect evidence to a recommendation? Who benefits, who bears costs, what is uncertain, and what would change the conclusion?</w:t>
      </w:r>
    </w:p>
    <w:p>
      <w:pPr>
        <w:pStyle w:val="Heading2"/>
      </w:pPr>
      <w:r>
        <w:t>1.2 Scope</w:t>
      </w:r>
    </w:p>
    <w:p>
      <w:pPr>
        <w:pStyle w:val="ListBullet"/>
        <w:spacing w:after="40"/>
      </w:pPr>
      <w:r>
        <w:t>Initial jurisdiction: Aotearoa New Zealand. Use international studies when relevant, while recording transferability limits.</w:t>
      </w:r>
    </w:p>
    <w:p>
      <w:pPr>
        <w:pStyle w:val="ListBullet"/>
        <w:spacing w:after="40"/>
      </w:pPr>
      <w:r>
        <w:t>Initial domains: policy claims, legislation, public spending, implementation, outcomes, institutional accountability and public participation.</w:t>
      </w:r>
    </w:p>
    <w:p>
      <w:pPr>
        <w:pStyle w:val="ListBullet"/>
        <w:spacing w:after="40"/>
      </w:pPr>
      <w:r>
        <w:t>Outputs: sourced dossiers, structured evidence records, dependency maps, reproducible tests, policy option comparisons, correction logs and technical documentation.</w:t>
      </w:r>
    </w:p>
    <w:p>
      <w:pPr>
        <w:pStyle w:val="ListBullet"/>
        <w:spacing w:after="40"/>
      </w:pPr>
      <w:r>
        <w:t>Out of scope for v0.1: automated voting advice, candidate rankings, personalised political persuasion, prediction of election outcomes, covert campaigning, unsupported allegations about individuals, and replacing democratic or legal decision-makers.</w:t>
      </w:r>
    </w:p>
    <w:p>
      <w:pPr>
        <w:pStyle w:val="Heading2"/>
      </w:pPr>
      <w:r>
        <w:t>1.3 Operating principles</w:t>
      </w:r>
    </w:p>
    <w:p>
      <w:pPr>
        <w:pStyle w:val="ListBullet"/>
        <w:spacing w:after="40"/>
      </w:pPr>
      <w:r>
        <w:t>Evidence before narrative: claims must link to sources, and sources must be assessed for relevance, methods, date, conflicts and limitations.</w:t>
      </w:r>
    </w:p>
    <w:p>
      <w:pPr>
        <w:pStyle w:val="ListBullet"/>
        <w:spacing w:after="40"/>
      </w:pPr>
      <w:r>
        <w:t>Political neutrality in method: apply the same evidence standards across parties, governments, ideologies and policy domains. Neutrality does not mean treating unequal evidence as equal.</w:t>
      </w:r>
    </w:p>
    <w:p>
      <w:pPr>
        <w:pStyle w:val="ListBullet"/>
        <w:spacing w:after="40"/>
      </w:pPr>
      <w:r>
        <w:t>Value pluralism: values must be explicit, contestable and accompanied by an account of trade-offs. No single moral metric silently decides all public questions.</w:t>
      </w:r>
    </w:p>
    <w:p>
      <w:pPr>
        <w:pStyle w:val="ListBullet"/>
        <w:spacing w:after="40"/>
      </w:pPr>
      <w:r>
        <w:t>Human agency: present reasons, uncertainty and alternatives; do not issue a final political verdict for the reader.</w:t>
      </w:r>
    </w:p>
    <w:p>
      <w:pPr>
        <w:pStyle w:val="ListBullet"/>
        <w:spacing w:after="40"/>
      </w:pPr>
      <w:r>
        <w:t>Te Tiriti and constitutional context: identify relevant legal obligations, Māori interests, tikanga and affected communities as substantive parts of the analysis, not decorative consultation.</w:t>
      </w:r>
    </w:p>
    <w:p>
      <w:pPr>
        <w:pStyle w:val="ListBullet"/>
        <w:spacing w:after="40"/>
      </w:pPr>
      <w:r>
        <w:t>Open correction: maintain a visible record of changes, retractions, unresolved disputes and failed tests.</w:t>
      </w:r>
    </w:p>
    <w:p>
      <w:pPr>
        <w:pStyle w:val="ListBullet"/>
        <w:spacing w:after="40"/>
      </w:pPr>
      <w:r>
        <w:t>Privacy and safety: minimise personal data, distinguish pseudonymity from guaranteed anonymity, and assess defamation, doxxing and employment risks before publication.</w:t>
      </w:r>
    </w:p>
    <w:p>
      <w:pPr>
        <w:pStyle w:val="ListBullet"/>
        <w:spacing w:after="40"/>
      </w:pPr>
      <w:r>
        <w:t>Proportionality: match research effort to the significance of the claim and the consequences of error.</w:t>
      </w:r>
    </w:p>
    <w:p>
      <w:pPr>
        <w:pStyle w:val="ListBullet"/>
        <w:spacing w:after="40"/>
      </w:pPr>
      <w:r>
        <w:t>No metric theatre: never publish a numerical score unless its definition, scale, calibration, limitations and validation are documented.</w:t>
      </w:r>
    </w:p>
    <w:p>
      <w:pPr>
        <w:pStyle w:val="ListBullet"/>
        <w:spacing w:after="40"/>
      </w:pPr>
      <w:r>
        <w:t>Independent challenge: seek reviewers who disagree with the working hypothesis and record their substantive objections fairly.</w:t>
      </w:r>
    </w:p>
    <w:p>
      <w:pPr>
        <w:pStyle w:val="Heading2"/>
      </w:pPr>
      <w:r>
        <w:t>1.4 Independence and governance</w:t>
      </w:r>
    </w:p>
    <w:p>
      <w:r>
        <w:t>The project should begin as a research initiative, not a registered political organisation. Its governance can evolve, but even a solo-founder stage needs separation between author, reviewer and source where possible. The project should publish a conflict-of-interest statement; label founder-authored hypotheses; avoid using public-sector resources or confidential information; and make clear that it does not speak for any employer, public agency, iwi, community or party.</w:t>
      </w:r>
    </w:p>
    <w:p>
      <w:r>
        <w:t>The Public Service Commission explains that political neutrality requires public servants to serve elected governments professionally and to avoid giving the impression that personal political activity represents their organisation or uses confidential information. This is not legal advice and does not determine any particular person's employment obligations; contributors with relevant roles should check their own policies and seek qualified advice before public attribution. [4]</w:t>
      </w:r>
    </w:p>
    <w:p>
      <w:pPr>
        <w:pStyle w:val="Heading2"/>
      </w:pPr>
      <w:r>
        <w:t>1.5 Publication and anonymity</w:t>
      </w:r>
    </w:p>
    <w:p>
      <w:r>
        <w:t>Use a pseudonym if needed, but do not promise that a pseudonym guarantees anonymity. PDFs can expose author metadata; Git commits, repository activity, account recovery, writing patterns, cloud links and cross-posting may reveal identity. Maintain an explicit publication-risk checklist, remove unnecessary metadata, separate personal and project accounts where appropriate, and never publish confidential government information. If a contributor needs anonymity, the project should minimise the data it collects rather than claim it can guarantee secrecy.</w:t>
      </w:r>
    </w:p>
    <w:p>
      <w:pPr>
        <w:pStyle w:val="Heading1"/>
      </w:pPr>
      <w:r>
        <w:t>2. Source record: what the original PDF says</w:t>
      </w:r>
    </w:p>
    <w:p>
      <w:r>
        <w:t>Source reviewed: “Anon Politician.pdf”, 62 pages, a transcript labelled “Conversation with Gemini.” It is a record of a conversational session and its assertions; it is not itself a peer-reviewed paper, controlled evaluation, or independent audit. The file includes both user statements and AI-generated interpretations. This distinction is material: an AI's confident restatement of an idea is not independent confirmation of that idea.</w:t>
      </w:r>
    </w:p>
    <w:p>
      <w:pPr>
        <w:pStyle w:val="Heading2"/>
      </w:pPr>
      <w:r>
        <w:t>2.1 Terminology preserved from the source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Aptos" w:hAnsi="Aptos"/>
                <w:b/>
                <w:sz w:val="17"/>
              </w:rPr>
              <w:t>Term / ID</w:t>
            </w:r>
          </w:p>
        </w:tc>
        <w:tc>
          <w:tcPr>
            <w:tcW w:type="dxa" w:w="3312"/>
            <w:vAlign w:val="center"/>
            <w:shd w:fill="D9EAF7"/>
          </w:tcPr>
          <w:p>
            <w:pPr>
              <w:spacing w:after="40"/>
            </w:pPr>
            <w:r/>
            <w:r>
              <w:rPr>
                <w:rFonts w:ascii="Aptos" w:hAnsi="Aptos"/>
                <w:b/>
                <w:sz w:val="17"/>
              </w:rPr>
              <w:t>Meaning in the PDF</w:t>
            </w:r>
          </w:p>
        </w:tc>
        <w:tc>
          <w:tcPr>
            <w:tcW w:type="dxa" w:w="3312"/>
            <w:vAlign w:val="center"/>
            <w:shd w:fill="D9EAF7"/>
          </w:tcPr>
          <w:p>
            <w:pPr>
              <w:spacing w:after="40"/>
            </w:pPr>
            <w:r/>
            <w:r>
              <w:rPr>
                <w:rFonts w:ascii="Aptos" w:hAnsi="Aptos"/>
                <w:b/>
                <w:sz w:val="17"/>
              </w:rPr>
              <w:t>Founding-dossier status</w:t>
            </w:r>
          </w:p>
        </w:tc>
      </w:tr>
      <w:tr>
        <w:tc>
          <w:tcPr>
            <w:tcW w:type="dxa" w:w="3312"/>
            <w:vAlign w:val="center"/>
          </w:tcPr>
          <w:p>
            <w:pPr>
              <w:spacing w:after="40"/>
            </w:pPr>
            <w:r/>
            <w:r>
              <w:rPr>
                <w:rFonts w:ascii="Aptos" w:hAnsi="Aptos"/>
                <w:b w:val="0"/>
                <w:sz w:val="16"/>
              </w:rPr>
              <w:t>Pyramid Cascade Architecture (PCA) / Pyramid Cascade System</w:t>
            </w:r>
          </w:p>
        </w:tc>
        <w:tc>
          <w:tcPr>
            <w:tcW w:type="dxa" w:w="3312"/>
            <w:vAlign w:val="center"/>
          </w:tcPr>
          <w:p>
            <w:pPr>
              <w:spacing w:after="40"/>
            </w:pPr>
            <w:r/>
            <w:r>
              <w:rPr>
                <w:rFonts w:ascii="Aptos" w:hAnsi="Aptos"/>
                <w:b w:val="0"/>
                <w:sz w:val="16"/>
              </w:rPr>
              <w:t>A layered knowledge structure: Foundation, Theory, Edge; a validated foundation change is supposed to trigger re-evaluation of dependent blocks.</w:t>
            </w:r>
          </w:p>
        </w:tc>
        <w:tc>
          <w:tcPr>
            <w:tcW w:type="dxa" w:w="3312"/>
            <w:vAlign w:val="center"/>
          </w:tcPr>
          <w:p>
            <w:pPr>
              <w:spacing w:after="40"/>
            </w:pPr>
            <w:r/>
            <w:r>
              <w:rPr>
                <w:rFonts w:ascii="Aptos" w:hAnsi="Aptos"/>
                <w:b w:val="0"/>
                <w:sz w:val="16"/>
              </w:rPr>
              <w:t>Historical architecture proposal; needs formal semantics and tests.</w:t>
            </w:r>
          </w:p>
        </w:tc>
      </w:tr>
      <w:tr>
        <w:tc>
          <w:tcPr>
            <w:tcW w:type="dxa" w:w="3312"/>
            <w:vAlign w:val="center"/>
          </w:tcPr>
          <w:p>
            <w:pPr>
              <w:spacing w:after="40"/>
            </w:pPr>
            <w:r/>
            <w:r>
              <w:rPr>
                <w:rFonts w:ascii="Aptos" w:hAnsi="Aptos"/>
                <w:b w:val="0"/>
                <w:sz w:val="16"/>
              </w:rPr>
              <w:t>CASCADE</w:t>
            </w:r>
          </w:p>
        </w:tc>
        <w:tc>
          <w:tcPr>
            <w:tcW w:type="dxa" w:w="3312"/>
            <w:vAlign w:val="center"/>
          </w:tcPr>
          <w:p>
            <w:pPr>
              <w:spacing w:after="40"/>
            </w:pPr>
            <w:r/>
            <w:r>
              <w:rPr>
                <w:rFonts w:ascii="Aptos" w:hAnsi="Aptos"/>
                <w:b w:val="0"/>
                <w:sz w:val="16"/>
              </w:rPr>
              <w:t>Used in the wider project context for the knowledge reorganisation idea.</w:t>
            </w:r>
          </w:p>
        </w:tc>
        <w:tc>
          <w:tcPr>
            <w:tcW w:type="dxa" w:w="3312"/>
            <w:vAlign w:val="center"/>
          </w:tcPr>
          <w:p>
            <w:pPr>
              <w:spacing w:after="40"/>
            </w:pPr>
            <w:r/>
            <w:r>
              <w:rPr>
                <w:rFonts w:ascii="Aptos" w:hAnsi="Aptos"/>
                <w:b w:val="0"/>
                <w:sz w:val="16"/>
              </w:rPr>
              <w:t>Use as the working project name only after a terminology crosswalk is documented; preserve PCA wording in historical records.</w:t>
            </w:r>
          </w:p>
        </w:tc>
      </w:tr>
      <w:tr>
        <w:tc>
          <w:tcPr>
            <w:tcW w:type="dxa" w:w="3312"/>
            <w:vAlign w:val="center"/>
          </w:tcPr>
          <w:p>
            <w:pPr>
              <w:spacing w:after="40"/>
            </w:pPr>
            <w:r/>
            <w:r>
              <w:rPr>
                <w:rFonts w:ascii="Aptos" w:hAnsi="Aptos"/>
                <w:b w:val="0"/>
                <w:sz w:val="16"/>
              </w:rPr>
              <w:t>AURA Protocol v2.0</w:t>
            </w:r>
          </w:p>
        </w:tc>
        <w:tc>
          <w:tcPr>
            <w:tcW w:type="dxa" w:w="3312"/>
            <w:vAlign w:val="center"/>
          </w:tcPr>
          <w:p>
            <w:pPr>
              <w:spacing w:after="40"/>
            </w:pPr>
            <w:r/>
            <w:r>
              <w:rPr>
                <w:rFonts w:ascii="Aptos" w:hAnsi="Aptos"/>
                <w:b w:val="0"/>
                <w:sz w:val="16"/>
              </w:rPr>
              <w:t>Described as a constitutional AI framework using Tri-Axial Metrics and constructive alternatives.</w:t>
            </w:r>
          </w:p>
        </w:tc>
        <w:tc>
          <w:tcPr>
            <w:tcW w:type="dxa" w:w="3312"/>
            <w:vAlign w:val="center"/>
          </w:tcPr>
          <w:p>
            <w:pPr>
              <w:spacing w:after="40"/>
            </w:pPr>
            <w:r/>
            <w:r>
              <w:rPr>
                <w:rFonts w:ascii="Aptos" w:hAnsi="Aptos"/>
                <w:b w:val="0"/>
                <w:sz w:val="16"/>
              </w:rPr>
              <w:t>Framework specification to be examined; not presumed effective.</w:t>
            </w:r>
          </w:p>
        </w:tc>
      </w:tr>
      <w:tr>
        <w:tc>
          <w:tcPr>
            <w:tcW w:type="dxa" w:w="3312"/>
            <w:vAlign w:val="center"/>
          </w:tcPr>
          <w:p>
            <w:pPr>
              <w:spacing w:after="40"/>
            </w:pPr>
            <w:r/>
            <w:r>
              <w:rPr>
                <w:rFonts w:ascii="Aptos" w:hAnsi="Aptos"/>
                <w:b w:val="0"/>
                <w:sz w:val="16"/>
              </w:rPr>
              <w:t>Trust Entropy (TE)</w:t>
            </w:r>
          </w:p>
        </w:tc>
        <w:tc>
          <w:tcPr>
            <w:tcW w:type="dxa" w:w="3312"/>
            <w:vAlign w:val="center"/>
          </w:tcPr>
          <w:p>
            <w:pPr>
              <w:spacing w:after="40"/>
            </w:pPr>
            <w:r/>
            <w:r>
              <w:rPr>
                <w:rFonts w:ascii="Aptos" w:hAnsi="Aptos"/>
                <w:b w:val="0"/>
                <w:sz w:val="16"/>
              </w:rPr>
              <w:t>A metric intended to capture friction/trust or inconsistency; descriptions vary across the transcript.</w:t>
            </w:r>
          </w:p>
        </w:tc>
        <w:tc>
          <w:tcPr>
            <w:tcW w:type="dxa" w:w="3312"/>
            <w:vAlign w:val="center"/>
          </w:tcPr>
          <w:p>
            <w:pPr>
              <w:spacing w:after="40"/>
            </w:pPr>
            <w:r/>
            <w:r>
              <w:rPr>
                <w:rFonts w:ascii="Aptos" w:hAnsi="Aptos"/>
                <w:b w:val="0"/>
                <w:sz w:val="16"/>
              </w:rPr>
              <w:t>Undefined for this application until units, formula, direction and calibration are specified.</w:t>
            </w:r>
          </w:p>
        </w:tc>
      </w:tr>
      <w:tr>
        <w:tc>
          <w:tcPr>
            <w:tcW w:type="dxa" w:w="3312"/>
            <w:vAlign w:val="center"/>
          </w:tcPr>
          <w:p>
            <w:pPr>
              <w:spacing w:after="40"/>
            </w:pPr>
            <w:r/>
            <w:r>
              <w:rPr>
                <w:rFonts w:ascii="Aptos" w:hAnsi="Aptos"/>
                <w:b w:val="0"/>
                <w:sz w:val="16"/>
              </w:rPr>
              <w:t>Value-Transfer Ratio (VTR)</w:t>
            </w:r>
          </w:p>
        </w:tc>
        <w:tc>
          <w:tcPr>
            <w:tcW w:type="dxa" w:w="3312"/>
            <w:vAlign w:val="center"/>
          </w:tcPr>
          <w:p>
            <w:pPr>
              <w:spacing w:after="40"/>
            </w:pPr>
            <w:r/>
            <w:r>
              <w:rPr>
                <w:rFonts w:ascii="Aptos" w:hAnsi="Aptos"/>
                <w:b w:val="0"/>
                <w:sz w:val="16"/>
              </w:rPr>
              <w:t>A metric intended to assess value generated or transferred by a proposal.</w:t>
            </w:r>
          </w:p>
        </w:tc>
        <w:tc>
          <w:tcPr>
            <w:tcW w:type="dxa" w:w="3312"/>
            <w:vAlign w:val="center"/>
          </w:tcPr>
          <w:p>
            <w:pPr>
              <w:spacing w:after="40"/>
            </w:pPr>
            <w:r/>
            <w:r>
              <w:rPr>
                <w:rFonts w:ascii="Aptos" w:hAnsi="Aptos"/>
                <w:b w:val="0"/>
                <w:sz w:val="16"/>
              </w:rPr>
              <w:t>Undefined for this application; do not publish numerical scores without a formula and validation.</w:t>
            </w:r>
          </w:p>
        </w:tc>
      </w:tr>
      <w:tr>
        <w:tc>
          <w:tcPr>
            <w:tcW w:type="dxa" w:w="3312"/>
            <w:vAlign w:val="center"/>
          </w:tcPr>
          <w:p>
            <w:pPr>
              <w:spacing w:after="40"/>
            </w:pPr>
            <w:r/>
            <w:r>
              <w:rPr>
                <w:rFonts w:ascii="Aptos" w:hAnsi="Aptos"/>
                <w:b w:val="0"/>
                <w:sz w:val="16"/>
              </w:rPr>
              <w:t>Purpose Alignment Index (PAI)</w:t>
            </w:r>
          </w:p>
        </w:tc>
        <w:tc>
          <w:tcPr>
            <w:tcW w:type="dxa" w:w="3312"/>
            <w:vAlign w:val="center"/>
          </w:tcPr>
          <w:p>
            <w:pPr>
              <w:spacing w:after="40"/>
            </w:pPr>
            <w:r/>
            <w:r>
              <w:rPr>
                <w:rFonts w:ascii="Aptos" w:hAnsi="Aptos"/>
                <w:b w:val="0"/>
                <w:sz w:val="16"/>
              </w:rPr>
              <w:t>A metric intended to assess alignment with declared purpose or values.</w:t>
            </w:r>
          </w:p>
        </w:tc>
        <w:tc>
          <w:tcPr>
            <w:tcW w:type="dxa" w:w="3312"/>
            <w:vAlign w:val="center"/>
          </w:tcPr>
          <w:p>
            <w:pPr>
              <w:spacing w:after="40"/>
            </w:pPr>
            <w:r/>
            <w:r>
              <w:rPr>
                <w:rFonts w:ascii="Aptos" w:hAnsi="Aptos"/>
                <w:b w:val="0"/>
                <w:sz w:val="16"/>
              </w:rPr>
              <w:t>Requires a transparent value model, pluralism safeguards and sensitivity tests.</w:t>
            </w:r>
          </w:p>
        </w:tc>
      </w:tr>
      <w:tr>
        <w:tc>
          <w:tcPr>
            <w:tcW w:type="dxa" w:w="3312"/>
            <w:vAlign w:val="center"/>
          </w:tcPr>
          <w:p>
            <w:pPr>
              <w:spacing w:after="40"/>
            </w:pPr>
            <w:r/>
            <w:r>
              <w:rPr>
                <w:rFonts w:ascii="Aptos" w:hAnsi="Aptos"/>
                <w:b w:val="0"/>
                <w:sz w:val="16"/>
              </w:rPr>
              <w:t>Vector Inversion Protocol</w:t>
            </w:r>
          </w:p>
        </w:tc>
        <w:tc>
          <w:tcPr>
            <w:tcW w:type="dxa" w:w="3312"/>
            <w:vAlign w:val="center"/>
          </w:tcPr>
          <w:p>
            <w:pPr>
              <w:spacing w:after="40"/>
            </w:pPr>
            <w:r/>
            <w:r>
              <w:rPr>
                <w:rFonts w:ascii="Aptos" w:hAnsi="Aptos"/>
                <w:b w:val="0"/>
                <w:sz w:val="16"/>
              </w:rPr>
              <w:t>A constructive-alternative mechanism: respond to a rejected or problematic proposal with a different proposal addressing the underlying intent.</w:t>
            </w:r>
          </w:p>
        </w:tc>
        <w:tc>
          <w:tcPr>
            <w:tcW w:type="dxa" w:w="3312"/>
            <w:vAlign w:val="center"/>
          </w:tcPr>
          <w:p>
            <w:pPr>
              <w:spacing w:after="40"/>
            </w:pPr>
            <w:r/>
            <w:r>
              <w:rPr>
                <w:rFonts w:ascii="Aptos" w:hAnsi="Aptos"/>
                <w:b w:val="0"/>
                <w:sz w:val="16"/>
              </w:rPr>
              <w:t>Treat as a design hypothesis; test usefulness and avoid claiming alternatives are “superior” without criteria.</w:t>
            </w:r>
          </w:p>
        </w:tc>
      </w:tr>
      <w:tr>
        <w:tc>
          <w:tcPr>
            <w:tcW w:type="dxa" w:w="3312"/>
            <w:vAlign w:val="center"/>
          </w:tcPr>
          <w:p>
            <w:pPr>
              <w:spacing w:after="40"/>
            </w:pPr>
            <w:r/>
            <w:r>
              <w:rPr>
                <w:rFonts w:ascii="Aptos" w:hAnsi="Aptos"/>
                <w:b w:val="0"/>
                <w:sz w:val="16"/>
              </w:rPr>
              <w:t>KnowledgeBlock / KnowledgePyramid</w:t>
            </w:r>
          </w:p>
        </w:tc>
        <w:tc>
          <w:tcPr>
            <w:tcW w:type="dxa" w:w="3312"/>
            <w:vAlign w:val="center"/>
          </w:tcPr>
          <w:p>
            <w:pPr>
              <w:spacing w:after="40"/>
            </w:pPr>
            <w:r/>
            <w:r>
              <w:rPr>
                <w:rFonts w:ascii="Aptos" w:hAnsi="Aptos"/>
                <w:b w:val="0"/>
                <w:sz w:val="16"/>
              </w:rPr>
              <w:t>An atomic record with content, layer, source, dependencies and status; later code discussion adds IDs, depth, truth/coherence scores and lineage.</w:t>
            </w:r>
          </w:p>
        </w:tc>
        <w:tc>
          <w:tcPr>
            <w:tcW w:type="dxa" w:w="3312"/>
            <w:vAlign w:val="center"/>
          </w:tcPr>
          <w:p>
            <w:pPr>
              <w:spacing w:after="40"/>
            </w:pPr>
            <w:r/>
            <w:r>
              <w:rPr>
                <w:rFonts w:ascii="Aptos" w:hAnsi="Aptos"/>
                <w:b w:val="0"/>
                <w:sz w:val="16"/>
              </w:rPr>
              <w:t>Promising data-model direction; the meaning of “truth_score” needs careful redesign.</w:t>
            </w:r>
          </w:p>
        </w:tc>
      </w:tr>
      <w:tr>
        <w:tc>
          <w:tcPr>
            <w:tcW w:type="dxa" w:w="3312"/>
            <w:vAlign w:val="center"/>
          </w:tcPr>
          <w:p>
            <w:pPr>
              <w:spacing w:after="40"/>
            </w:pPr>
            <w:r/>
            <w:r>
              <w:rPr>
                <w:rFonts w:ascii="Aptos" w:hAnsi="Aptos"/>
                <w:b w:val="0"/>
                <w:sz w:val="16"/>
              </w:rPr>
              <w:t>F_001–F_004</w:t>
            </w:r>
          </w:p>
        </w:tc>
        <w:tc>
          <w:tcPr>
            <w:tcW w:type="dxa" w:w="3312"/>
            <w:vAlign w:val="center"/>
          </w:tcPr>
          <w:p>
            <w:pPr>
              <w:spacing w:after="40"/>
            </w:pPr>
            <w:r/>
            <w:r>
              <w:rPr>
                <w:rFonts w:ascii="Aptos" w:hAnsi="Aptos"/>
                <w:b w:val="0"/>
                <w:sz w:val="16"/>
              </w:rPr>
              <w:t>Foundation blocks around individual dignity/sovereignty, truth/self-correction, human and ecological flourishing, and ecological/systemic liabilities.</w:t>
            </w:r>
          </w:p>
        </w:tc>
        <w:tc>
          <w:tcPr>
            <w:tcW w:type="dxa" w:w="3312"/>
            <w:vAlign w:val="center"/>
          </w:tcPr>
          <w:p>
            <w:pPr>
              <w:spacing w:after="40"/>
            </w:pPr>
            <w:r/>
            <w:r>
              <w:rPr>
                <w:rFonts w:ascii="Aptos" w:hAnsi="Aptos"/>
                <w:b w:val="0"/>
                <w:sz w:val="16"/>
              </w:rPr>
              <w:t>Normative propositions and mixed normative/empirical claims; not all are empirical “truths.”</w:t>
            </w:r>
          </w:p>
        </w:tc>
      </w:tr>
      <w:tr>
        <w:tc>
          <w:tcPr>
            <w:tcW w:type="dxa" w:w="3312"/>
            <w:vAlign w:val="center"/>
          </w:tcPr>
          <w:p>
            <w:pPr>
              <w:spacing w:after="40"/>
            </w:pPr>
            <w:r/>
            <w:r>
              <w:rPr>
                <w:rFonts w:ascii="Aptos" w:hAnsi="Aptos"/>
                <w:b w:val="0"/>
                <w:sz w:val="16"/>
              </w:rPr>
              <w:t>T_001</w:t>
            </w:r>
          </w:p>
        </w:tc>
        <w:tc>
          <w:tcPr>
            <w:tcW w:type="dxa" w:w="3312"/>
            <w:vAlign w:val="center"/>
          </w:tcPr>
          <w:p>
            <w:pPr>
              <w:spacing w:after="40"/>
            </w:pPr>
            <w:r/>
            <w:r>
              <w:rPr>
                <w:rFonts w:ascii="Aptos" w:hAnsi="Aptos"/>
                <w:b w:val="0"/>
                <w:sz w:val="16"/>
              </w:rPr>
              <w:t>Collaborative/distributed economic models allegedly produce greater resilience and lower Gini coefficients than centralised models.</w:t>
            </w:r>
          </w:p>
        </w:tc>
        <w:tc>
          <w:tcPr>
            <w:tcW w:type="dxa" w:w="3312"/>
            <w:vAlign w:val="center"/>
          </w:tcPr>
          <w:p>
            <w:pPr>
              <w:spacing w:after="40"/>
            </w:pPr>
            <w:r/>
            <w:r>
              <w:rPr>
                <w:rFonts w:ascii="Aptos" w:hAnsi="Aptos"/>
                <w:b w:val="0"/>
                <w:sz w:val="16"/>
              </w:rPr>
              <w:t>Broad empirical claim requiring careful definition and comparative evidence; not established by the PDF.</w:t>
            </w:r>
          </w:p>
        </w:tc>
      </w:tr>
      <w:tr>
        <w:tc>
          <w:tcPr>
            <w:tcW w:type="dxa" w:w="3312"/>
            <w:vAlign w:val="center"/>
          </w:tcPr>
          <w:p>
            <w:pPr>
              <w:spacing w:after="40"/>
            </w:pPr>
            <w:r/>
            <w:r>
              <w:rPr>
                <w:rFonts w:ascii="Aptos" w:hAnsi="Aptos"/>
                <w:b w:val="0"/>
                <w:sz w:val="16"/>
              </w:rPr>
              <w:t>T_002</w:t>
            </w:r>
          </w:p>
        </w:tc>
        <w:tc>
          <w:tcPr>
            <w:tcW w:type="dxa" w:w="3312"/>
            <w:vAlign w:val="center"/>
          </w:tcPr>
          <w:p>
            <w:pPr>
              <w:spacing w:after="40"/>
            </w:pPr>
            <w:r/>
            <w:r>
              <w:rPr>
                <w:rFonts w:ascii="Aptos" w:hAnsi="Aptos"/>
                <w:b w:val="0"/>
                <w:sz w:val="16"/>
              </w:rPr>
              <w:t>Short-term shareholder-value maximisation with unconstrained deregulation/privatisation is described as the only reliable pathway to wealth.</w:t>
            </w:r>
          </w:p>
        </w:tc>
        <w:tc>
          <w:tcPr>
            <w:tcW w:type="dxa" w:w="3312"/>
            <w:vAlign w:val="center"/>
          </w:tcPr>
          <w:p>
            <w:pPr>
              <w:spacing w:after="40"/>
            </w:pPr>
            <w:r/>
            <w:r>
              <w:rPr>
                <w:rFonts w:ascii="Aptos" w:hAnsi="Aptos"/>
                <w:b w:val="0"/>
                <w:sz w:val="16"/>
              </w:rPr>
              <w:t>A constructed straw-target in the transcript, not a fair summary of all market-oriented theories.</w:t>
            </w:r>
          </w:p>
        </w:tc>
      </w:tr>
      <w:tr>
        <w:tc>
          <w:tcPr>
            <w:tcW w:type="dxa" w:w="3312"/>
            <w:vAlign w:val="center"/>
          </w:tcPr>
          <w:p>
            <w:pPr>
              <w:spacing w:after="40"/>
            </w:pPr>
            <w:r/>
            <w:r>
              <w:rPr>
                <w:rFonts w:ascii="Aptos" w:hAnsi="Aptos"/>
                <w:b w:val="0"/>
                <w:sz w:val="16"/>
              </w:rPr>
              <w:t>E_001 / DEEP</w:t>
            </w:r>
          </w:p>
        </w:tc>
        <w:tc>
          <w:tcPr>
            <w:tcW w:type="dxa" w:w="3312"/>
            <w:vAlign w:val="center"/>
          </w:tcPr>
          <w:p>
            <w:pPr>
              <w:spacing w:after="40"/>
            </w:pPr>
            <w:r/>
            <w:r>
              <w:rPr>
                <w:rFonts w:ascii="Aptos" w:hAnsi="Aptos"/>
                <w:b w:val="0"/>
                <w:sz w:val="16"/>
              </w:rPr>
              <w:t>“Decentralized Ecological Economics Protocol,” including “Eco-Linked Assets” and transparent ecological accounting.</w:t>
            </w:r>
          </w:p>
        </w:tc>
        <w:tc>
          <w:tcPr>
            <w:tcW w:type="dxa" w:w="3312"/>
            <w:vAlign w:val="center"/>
          </w:tcPr>
          <w:p>
            <w:pPr>
              <w:spacing w:after="40"/>
            </w:pPr>
            <w:r/>
            <w:r>
              <w:rPr>
                <w:rFonts w:ascii="Aptos" w:hAnsi="Aptos"/>
                <w:b w:val="0"/>
                <w:sz w:val="16"/>
              </w:rPr>
              <w:t>Concept/hypothesis. The PDF's own later section calls it bleeding edge, but then promotes it too quickly.</w:t>
            </w:r>
          </w:p>
        </w:tc>
      </w:tr>
      <w:tr>
        <w:tc>
          <w:tcPr>
            <w:tcW w:type="dxa" w:w="3312"/>
            <w:vAlign w:val="center"/>
          </w:tcPr>
          <w:p>
            <w:pPr>
              <w:spacing w:after="40"/>
            </w:pPr>
            <w:r/>
            <w:r>
              <w:rPr>
                <w:rFonts w:ascii="Aptos" w:hAnsi="Aptos"/>
                <w:b w:val="0"/>
                <w:sz w:val="16"/>
              </w:rPr>
              <w:t>E_002 / E_003 / E_004</w:t>
            </w:r>
          </w:p>
        </w:tc>
        <w:tc>
          <w:tcPr>
            <w:tcW w:type="dxa" w:w="3312"/>
            <w:vAlign w:val="center"/>
          </w:tcPr>
          <w:p>
            <w:pPr>
              <w:spacing w:after="40"/>
            </w:pPr>
            <w:r/>
            <w:r>
              <w:rPr>
                <w:rFonts w:ascii="Aptos" w:hAnsi="Aptos"/>
                <w:b w:val="0"/>
                <w:sz w:val="16"/>
              </w:rPr>
              <w:t>Technical validation, social/governance validation, and a proposed governance blueprint involving DIDs/VCs and voting mechanisms.</w:t>
            </w:r>
          </w:p>
        </w:tc>
        <w:tc>
          <w:tcPr>
            <w:tcW w:type="dxa" w:w="3312"/>
            <w:vAlign w:val="center"/>
          </w:tcPr>
          <w:p>
            <w:pPr>
              <w:spacing w:after="40"/>
            </w:pPr>
            <w:r/>
            <w:r>
              <w:rPr>
                <w:rFonts w:ascii="Aptos" w:hAnsi="Aptos"/>
                <w:b w:val="0"/>
                <w:sz w:val="16"/>
              </w:rPr>
              <w:t>Claims and proposed solutions in the transcript; independent source-by-source verification remains outstanding.</w:t>
            </w:r>
          </w:p>
        </w:tc>
      </w:tr>
      <w:tr>
        <w:tc>
          <w:tcPr>
            <w:tcW w:type="dxa" w:w="3312"/>
            <w:vAlign w:val="center"/>
          </w:tcPr>
          <w:p>
            <w:pPr>
              <w:spacing w:after="40"/>
            </w:pPr>
            <w:r/>
            <w:r>
              <w:rPr>
                <w:rFonts w:ascii="Aptos" w:hAnsi="Aptos"/>
                <w:b w:val="0"/>
                <w:sz w:val="16"/>
              </w:rPr>
              <w:t>Pyramid Coherence Score: 0.98</w:t>
            </w:r>
          </w:p>
        </w:tc>
        <w:tc>
          <w:tcPr>
            <w:tcW w:type="dxa" w:w="3312"/>
            <w:vAlign w:val="center"/>
          </w:tcPr>
          <w:p>
            <w:pPr>
              <w:spacing w:after="40"/>
            </w:pPr>
            <w:r/>
            <w:r>
              <w:rPr>
                <w:rFonts w:ascii="Aptos" w:hAnsi="Aptos"/>
                <w:b w:val="0"/>
                <w:sz w:val="16"/>
              </w:rPr>
              <w:t>A claimed result in the anonymous research-release draft.</w:t>
            </w:r>
          </w:p>
        </w:tc>
        <w:tc>
          <w:tcPr>
            <w:tcW w:type="dxa" w:w="3312"/>
            <w:vAlign w:val="center"/>
          </w:tcPr>
          <w:p>
            <w:pPr>
              <w:spacing w:after="40"/>
            </w:pPr>
            <w:r/>
            <w:r>
              <w:rPr>
                <w:rFonts w:ascii="Aptos" w:hAnsi="Aptos"/>
                <w:b w:val="0"/>
                <w:sz w:val="16"/>
              </w:rPr>
              <w:t>Unverified: formula, dataset, scoring rubric, baseline and uncertainty are not supplied in the material reviewed.</w:t>
            </w:r>
          </w:p>
        </w:tc>
      </w:tr>
    </w:tbl>
    <w:p/>
    <w:p>
      <w:pPr>
        <w:pStyle w:val="Heading2"/>
      </w:pPr>
      <w:r>
        <w:t>2.2 Claims that must remain labelled as claims</w:t>
      </w:r>
    </w:p>
    <w:p>
      <w:pPr>
        <w:pStyle w:val="ListBullet"/>
        <w:spacing w:after="40"/>
      </w:pPr>
      <w:r>
        <w:t>The transcript announces “Status: Experiment Completed. Results: Validated” and claims that the cascade successfully reorganised the political knowledge base.</w:t>
      </w:r>
    </w:p>
    <w:p>
      <w:pPr>
        <w:pStyle w:val="ListBullet"/>
        <w:spacing w:after="40"/>
      </w:pPr>
      <w:r>
        <w:t>It says AURA's Trust Entropy and Value-Transfer Ratio caused T_002 to fail and T_001 to pass. The transcript does not show an independently auditable calculation of those metrics.</w:t>
      </w:r>
    </w:p>
    <w:p>
      <w:pPr>
        <w:pStyle w:val="ListBullet"/>
        <w:spacing w:after="40"/>
      </w:pPr>
      <w:r>
        <w:t>It says a “Pyramid Coherence Score” of 0.98 was achieved. No formula, inter-rater reliability, calibration data or control condition is shown in the reviewed text.</w:t>
      </w:r>
    </w:p>
    <w:p>
      <w:pPr>
        <w:pStyle w:val="ListBullet"/>
        <w:spacing w:after="40"/>
      </w:pPr>
      <w:r>
        <w:t>It moves DEEP from Edge (L3) to Established Theory (L2), and later discusses an “Axiomatic Law” or deployment status. That promotion is not justified by the evidence displayed in the transcript alone.</w:t>
      </w:r>
    </w:p>
    <w:p>
      <w:pPr>
        <w:pStyle w:val="ListBullet"/>
        <w:spacing w:after="40"/>
      </w:pPr>
      <w:r>
        <w:t>It treats a value commitment (“maximize net positive human and ecological flourishing”) as if it were an empirically provable axiom. The project must separate normative commitments from empirical propositions.</w:t>
      </w:r>
    </w:p>
    <w:p>
      <w:pPr>
        <w:pStyle w:val="ListBullet"/>
        <w:spacing w:after="40"/>
      </w:pPr>
      <w:r>
        <w:t>It uses a highly simplified contrast between “collaborative economics” and “short-term profit maximisation.” A serious policy study must include credible alternatives, mixed models, boundary conditions and counter-evidence.</w:t>
      </w:r>
    </w:p>
    <w:p>
      <w:r>
        <w:t>This is not a dismissal of the original work. It is the first test of the project's own stated commitment to predictive accuracy over narrative comfort: preserving the insight while downgrading unsupported certainty is a positive research outcome.</w:t>
      </w:r>
    </w:p>
    <w:p>
      <w:pPr>
        <w:pStyle w:val="Heading1"/>
      </w:pPr>
      <w:r>
        <w:t>3. Research questions and initial hypotheses</w:t>
      </w:r>
    </w:p>
    <w:p>
      <w:pPr>
        <w:pStyle w:val="Heading2"/>
      </w:pPr>
      <w:r>
        <w:t>3.1 Core research question</w:t>
      </w:r>
    </w:p>
    <w:p>
      <w:r>
        <w:t>Can a structured, provenance-preserving knowledge system improve the traceability, correction, and quality of policy analysis compared with a competent conventional research workflow—without introducing unacceptable bias, false certainty, privacy risk or administrative burden?</w:t>
      </w:r>
    </w:p>
    <w:p>
      <w:pPr>
        <w:pStyle w:val="Heading2"/>
      </w:pPr>
      <w:r>
        <w:t>3.2 Testable hypotheses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Aptos" w:hAnsi="Aptos"/>
                <w:b/>
                <w:sz w:val="17"/>
              </w:rPr>
              <w:t>ID</w:t>
            </w:r>
          </w:p>
        </w:tc>
        <w:tc>
          <w:tcPr>
            <w:tcW w:type="dxa" w:w="3312"/>
            <w:vAlign w:val="center"/>
            <w:shd w:fill="D9EAF7"/>
          </w:tcPr>
          <w:p>
            <w:pPr>
              <w:spacing w:after="40"/>
            </w:pPr>
            <w:r/>
            <w:r>
              <w:rPr>
                <w:rFonts w:ascii="Aptos" w:hAnsi="Aptos"/>
                <w:b/>
                <w:sz w:val="17"/>
              </w:rPr>
              <w:t>Hypothesis</w:t>
            </w:r>
          </w:p>
        </w:tc>
        <w:tc>
          <w:tcPr>
            <w:tcW w:type="dxa" w:w="3312"/>
            <w:vAlign w:val="center"/>
            <w:shd w:fill="D9EAF7"/>
          </w:tcPr>
          <w:p>
            <w:pPr>
              <w:spacing w:after="40"/>
            </w:pPr>
            <w:r/>
            <w:r>
              <w:rPr>
                <w:rFonts w:ascii="Aptos" w:hAnsi="Aptos"/>
                <w:b/>
                <w:sz w:val="17"/>
              </w:rPr>
              <w:t>Evidence needed</w:t>
            </w:r>
          </w:p>
        </w:tc>
      </w:tr>
      <w:tr>
        <w:tc>
          <w:tcPr>
            <w:tcW w:type="dxa" w:w="3312"/>
            <w:vAlign w:val="center"/>
          </w:tcPr>
          <w:p>
            <w:pPr>
              <w:spacing w:after="40"/>
            </w:pPr>
            <w:r/>
            <w:r>
              <w:rPr>
                <w:rFonts w:ascii="Aptos" w:hAnsi="Aptos"/>
                <w:b w:val="0"/>
                <w:sz w:val="16"/>
              </w:rPr>
              <w:t>H1</w:t>
            </w:r>
          </w:p>
        </w:tc>
        <w:tc>
          <w:tcPr>
            <w:tcW w:type="dxa" w:w="3312"/>
            <w:vAlign w:val="center"/>
          </w:tcPr>
          <w:p>
            <w:pPr>
              <w:spacing w:after="40"/>
            </w:pPr>
            <w:r/>
            <w:r>
              <w:rPr>
                <w:rFonts w:ascii="Aptos" w:hAnsi="Aptos"/>
                <w:b w:val="0"/>
                <w:sz w:val="16"/>
              </w:rPr>
              <w:t>A structured claim-and-dependency graph helps reviewers identify which conclusions rely on a challenged source or assumption.</w:t>
            </w:r>
          </w:p>
        </w:tc>
        <w:tc>
          <w:tcPr>
            <w:tcW w:type="dxa" w:w="3312"/>
            <w:vAlign w:val="center"/>
          </w:tcPr>
          <w:p>
            <w:pPr>
              <w:spacing w:after="40"/>
            </w:pPr>
            <w:r/>
            <w:r>
              <w:rPr>
                <w:rFonts w:ascii="Aptos" w:hAnsi="Aptos"/>
                <w:b w:val="0"/>
                <w:sz w:val="16"/>
              </w:rPr>
              <w:t>Blinded comparison against ordinary briefs; time-to-trace and error-detection measures.</w:t>
            </w:r>
          </w:p>
        </w:tc>
      </w:tr>
      <w:tr>
        <w:tc>
          <w:tcPr>
            <w:tcW w:type="dxa" w:w="3312"/>
            <w:vAlign w:val="center"/>
          </w:tcPr>
          <w:p>
            <w:pPr>
              <w:spacing w:after="40"/>
            </w:pPr>
            <w:r/>
            <w:r>
              <w:rPr>
                <w:rFonts w:ascii="Aptos" w:hAnsi="Aptos"/>
                <w:b w:val="0"/>
                <w:sz w:val="16"/>
              </w:rPr>
              <w:t>H2</w:t>
            </w:r>
          </w:p>
        </w:tc>
        <w:tc>
          <w:tcPr>
            <w:tcW w:type="dxa" w:w="3312"/>
            <w:vAlign w:val="center"/>
          </w:tcPr>
          <w:p>
            <w:pPr>
              <w:spacing w:after="40"/>
            </w:pPr>
            <w:r/>
            <w:r>
              <w:rPr>
                <w:rFonts w:ascii="Aptos" w:hAnsi="Aptos"/>
                <w:b w:val="0"/>
                <w:sz w:val="16"/>
              </w:rPr>
              <w:t>Explicit evidence classes and provenance reduce unsupported statements in policy summaries.</w:t>
            </w:r>
          </w:p>
        </w:tc>
        <w:tc>
          <w:tcPr>
            <w:tcW w:type="dxa" w:w="3312"/>
            <w:vAlign w:val="center"/>
          </w:tcPr>
          <w:p>
            <w:pPr>
              <w:spacing w:after="40"/>
            </w:pPr>
            <w:r/>
            <w:r>
              <w:rPr>
                <w:rFonts w:ascii="Aptos" w:hAnsi="Aptos"/>
                <w:b w:val="0"/>
                <w:sz w:val="16"/>
              </w:rPr>
              <w:t>Pre/post or randomized review; count unsupported claims and missed caveats.</w:t>
            </w:r>
          </w:p>
        </w:tc>
      </w:tr>
      <w:tr>
        <w:tc>
          <w:tcPr>
            <w:tcW w:type="dxa" w:w="3312"/>
            <w:vAlign w:val="center"/>
          </w:tcPr>
          <w:p>
            <w:pPr>
              <w:spacing w:after="40"/>
            </w:pPr>
            <w:r/>
            <w:r>
              <w:rPr>
                <w:rFonts w:ascii="Aptos" w:hAnsi="Aptos"/>
                <w:b w:val="0"/>
                <w:sz w:val="16"/>
              </w:rPr>
              <w:t>H3</w:t>
            </w:r>
          </w:p>
        </w:tc>
        <w:tc>
          <w:tcPr>
            <w:tcW w:type="dxa" w:w="3312"/>
            <w:vAlign w:val="center"/>
          </w:tcPr>
          <w:p>
            <w:pPr>
              <w:spacing w:after="40"/>
            </w:pPr>
            <w:r/>
            <w:r>
              <w:rPr>
                <w:rFonts w:ascii="Aptos" w:hAnsi="Aptos"/>
                <w:b w:val="0"/>
                <w:sz w:val="16"/>
              </w:rPr>
              <w:t>CASCADE-style change propagation improves detection of downstream claims affected by a source or assumption update.</w:t>
            </w:r>
          </w:p>
        </w:tc>
        <w:tc>
          <w:tcPr>
            <w:tcW w:type="dxa" w:w="3312"/>
            <w:vAlign w:val="center"/>
          </w:tcPr>
          <w:p>
            <w:pPr>
              <w:spacing w:after="40"/>
            </w:pPr>
            <w:r/>
            <w:r>
              <w:rPr>
                <w:rFonts w:ascii="Aptos" w:hAnsi="Aptos"/>
                <w:b w:val="0"/>
                <w:sz w:val="16"/>
              </w:rPr>
              <w:t>Seeded change-impact benchmark; compare with conventional document search/review.</w:t>
            </w:r>
          </w:p>
        </w:tc>
      </w:tr>
      <w:tr>
        <w:tc>
          <w:tcPr>
            <w:tcW w:type="dxa" w:w="3312"/>
            <w:vAlign w:val="center"/>
          </w:tcPr>
          <w:p>
            <w:pPr>
              <w:spacing w:after="40"/>
            </w:pPr>
            <w:r/>
            <w:r>
              <w:rPr>
                <w:rFonts w:ascii="Aptos" w:hAnsi="Aptos"/>
                <w:b w:val="0"/>
                <w:sz w:val="16"/>
              </w:rPr>
              <w:t>H4</w:t>
            </w:r>
          </w:p>
        </w:tc>
        <w:tc>
          <w:tcPr>
            <w:tcW w:type="dxa" w:w="3312"/>
            <w:vAlign w:val="center"/>
          </w:tcPr>
          <w:p>
            <w:pPr>
              <w:spacing w:after="40"/>
            </w:pPr>
            <w:r/>
            <w:r>
              <w:rPr>
                <w:rFonts w:ascii="Aptos" w:hAnsi="Aptos"/>
                <w:b w:val="0"/>
                <w:sz w:val="16"/>
              </w:rPr>
              <w:t>AURA-style value prompts improve explicitness of trade-offs and affected-group analysis.</w:t>
            </w:r>
          </w:p>
        </w:tc>
        <w:tc>
          <w:tcPr>
            <w:tcW w:type="dxa" w:w="3312"/>
            <w:vAlign w:val="center"/>
          </w:tcPr>
          <w:p>
            <w:pPr>
              <w:spacing w:after="40"/>
            </w:pPr>
            <w:r/>
            <w:r>
              <w:rPr>
                <w:rFonts w:ascii="Aptos" w:hAnsi="Aptos"/>
                <w:b w:val="0"/>
                <w:sz w:val="16"/>
              </w:rPr>
              <w:t>Independent rubric ratings, inter-rater agreement, and adversarial review.</w:t>
            </w:r>
          </w:p>
        </w:tc>
      </w:tr>
      <w:tr>
        <w:tc>
          <w:tcPr>
            <w:tcW w:type="dxa" w:w="3312"/>
            <w:vAlign w:val="center"/>
          </w:tcPr>
          <w:p>
            <w:pPr>
              <w:spacing w:after="40"/>
            </w:pPr>
            <w:r/>
            <w:r>
              <w:rPr>
                <w:rFonts w:ascii="Aptos" w:hAnsi="Aptos"/>
                <w:b w:val="0"/>
                <w:sz w:val="16"/>
              </w:rPr>
              <w:t>H5</w:t>
            </w:r>
          </w:p>
        </w:tc>
        <w:tc>
          <w:tcPr>
            <w:tcW w:type="dxa" w:w="3312"/>
            <w:vAlign w:val="center"/>
          </w:tcPr>
          <w:p>
            <w:pPr>
              <w:spacing w:after="40"/>
            </w:pPr>
            <w:r/>
            <w:r>
              <w:rPr>
                <w:rFonts w:ascii="Aptos" w:hAnsi="Aptos"/>
                <w:b w:val="0"/>
                <w:sz w:val="16"/>
              </w:rPr>
              <w:t>The system can preserve competing legitimate values without collapsing them into a single score.</w:t>
            </w:r>
          </w:p>
        </w:tc>
        <w:tc>
          <w:tcPr>
            <w:tcW w:type="dxa" w:w="3312"/>
            <w:vAlign w:val="center"/>
          </w:tcPr>
          <w:p>
            <w:pPr>
              <w:spacing w:after="40"/>
            </w:pPr>
            <w:r/>
            <w:r>
              <w:rPr>
                <w:rFonts w:ascii="Aptos" w:hAnsi="Aptos"/>
                <w:b w:val="0"/>
                <w:sz w:val="16"/>
              </w:rPr>
              <w:t>Conflict-case tests; review whether trade-offs and dissent remain visible.</w:t>
            </w:r>
          </w:p>
        </w:tc>
      </w:tr>
      <w:tr>
        <w:tc>
          <w:tcPr>
            <w:tcW w:type="dxa" w:w="3312"/>
            <w:vAlign w:val="center"/>
          </w:tcPr>
          <w:p>
            <w:pPr>
              <w:spacing w:after="40"/>
            </w:pPr>
            <w:r/>
            <w:r>
              <w:rPr>
                <w:rFonts w:ascii="Aptos" w:hAnsi="Aptos"/>
                <w:b w:val="0"/>
                <w:sz w:val="16"/>
              </w:rPr>
              <w:t>H6</w:t>
            </w:r>
          </w:p>
        </w:tc>
        <w:tc>
          <w:tcPr>
            <w:tcW w:type="dxa" w:w="3312"/>
            <w:vAlign w:val="center"/>
          </w:tcPr>
          <w:p>
            <w:pPr>
              <w:spacing w:after="40"/>
            </w:pPr>
            <w:r/>
            <w:r>
              <w:rPr>
                <w:rFonts w:ascii="Aptos" w:hAnsi="Aptos"/>
                <w:b w:val="0"/>
                <w:sz w:val="16"/>
              </w:rPr>
              <w:t>Automated assistance can reduce some research labour without increasing factual error or political asymmetry.</w:t>
            </w:r>
          </w:p>
        </w:tc>
        <w:tc>
          <w:tcPr>
            <w:tcW w:type="dxa" w:w="3312"/>
            <w:vAlign w:val="center"/>
          </w:tcPr>
          <w:p>
            <w:pPr>
              <w:spacing w:after="40"/>
            </w:pPr>
            <w:r/>
            <w:r>
              <w:rPr>
                <w:rFonts w:ascii="Aptos" w:hAnsi="Aptos"/>
                <w:b w:val="0"/>
                <w:sz w:val="16"/>
              </w:rPr>
              <w:t>Time/error trade-off test; stratified error analysis across ideologies and domains.</w:t>
            </w:r>
          </w:p>
        </w:tc>
      </w:tr>
    </w:tbl>
    <w:p/>
    <w:p>
      <w:r>
        <w:t>These are hypotheses, not conclusions. H1–H6 should be preregistered before confirmatory evaluation. If the evidence is mixed, publish that result.</w:t>
      </w:r>
    </w:p>
    <w:p>
      <w:pPr>
        <w:pStyle w:val="Heading1"/>
      </w:pPr>
      <w:r>
        <w:t>4. Architecture: AURA + CASCADE + Civic Observatory</w:t>
      </w:r>
    </w:p>
    <w:p>
      <w:pPr>
        <w:pStyle w:val="Heading2"/>
      </w:pPr>
      <w:r>
        <w:t>4.1 Layer A — Civic Observatory</w:t>
      </w:r>
    </w:p>
    <w:p>
      <w:r>
        <w:t>A source-first public index of relevant New Zealand material: legislation and bills, select committee papers and submissions, official statistics, budgets and appropriations, Treasury analysis, Auditor-General reports, independent watchdog reports, official information releases, evaluation studies, and reputable civil-society research. The observatory should link to original sources rather than silently replace them with summaries.</w:t>
      </w:r>
    </w:p>
    <w:p>
      <w:r>
        <w:t>Parliament's description of select committee consideration notes that committees gather written submissions, hear from submitters, request advice, consider possible amendments and report to the House. That makes committee records a useful starting source stream for traceable policy questions. [1]</w:t>
      </w:r>
    </w:p>
    <w:p>
      <w:pPr>
        <w:pStyle w:val="Heading2"/>
      </w:pPr>
      <w:r>
        <w:t>4.2 Layer B — CASCADE knowledge graph</w:t>
      </w:r>
    </w:p>
    <w:p>
      <w:r>
        <w:t>CASCADE stores claims as versioned blocks connected by explicit dependency edges. Foundation / Theory / Edge remain as historical labels, but the data model must distinguish empirical observations, legal rules, normative commitments, causal models, forecasts, policy options and open questions. A proposition should not become more true merely because it is located at a lower layer.</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Aptos" w:hAnsi="Aptos"/>
                <w:b/>
                <w:sz w:val="17"/>
              </w:rPr>
              <w:t>Object</w:t>
            </w:r>
          </w:p>
        </w:tc>
        <w:tc>
          <w:tcPr>
            <w:tcW w:type="dxa" w:w="4968"/>
            <w:vAlign w:val="center"/>
            <w:shd w:fill="D9EAF7"/>
          </w:tcPr>
          <w:p>
            <w:pPr>
              <w:spacing w:after="40"/>
            </w:pPr>
            <w:r/>
            <w:r>
              <w:rPr>
                <w:rFonts w:ascii="Aptos" w:hAnsi="Aptos"/>
                <w:b/>
                <w:sz w:val="17"/>
              </w:rPr>
              <w:t>Required fields (minimum)</w:t>
            </w:r>
          </w:p>
        </w:tc>
      </w:tr>
      <w:tr>
        <w:tc>
          <w:tcPr>
            <w:tcW w:type="dxa" w:w="4968"/>
            <w:vAlign w:val="center"/>
          </w:tcPr>
          <w:p>
            <w:pPr>
              <w:spacing w:after="40"/>
            </w:pPr>
            <w:r/>
            <w:r>
              <w:rPr>
                <w:rFonts w:ascii="Aptos" w:hAnsi="Aptos"/>
                <w:b w:val="0"/>
                <w:sz w:val="16"/>
              </w:rPr>
              <w:t>ClaimBlock</w:t>
            </w:r>
          </w:p>
        </w:tc>
        <w:tc>
          <w:tcPr>
            <w:tcW w:type="dxa" w:w="4968"/>
            <w:vAlign w:val="center"/>
          </w:tcPr>
          <w:p>
            <w:pPr>
              <w:spacing w:after="40"/>
            </w:pPr>
            <w:r/>
            <w:r>
              <w:rPr>
                <w:rFonts w:ascii="Aptos" w:hAnsi="Aptos"/>
                <w:b w:val="0"/>
                <w:sz w:val="16"/>
              </w:rPr>
              <w:t>ID; exact claim; claim type; author; created/updated timestamps; status; scope; population; time period; jurisdiction; uncertainty; version history.</w:t>
            </w:r>
          </w:p>
        </w:tc>
      </w:tr>
      <w:tr>
        <w:tc>
          <w:tcPr>
            <w:tcW w:type="dxa" w:w="4968"/>
            <w:vAlign w:val="center"/>
          </w:tcPr>
          <w:p>
            <w:pPr>
              <w:spacing w:after="40"/>
            </w:pPr>
            <w:r/>
            <w:r>
              <w:rPr>
                <w:rFonts w:ascii="Aptos" w:hAnsi="Aptos"/>
                <w:b w:val="0"/>
                <w:sz w:val="16"/>
              </w:rPr>
              <w:t>SourceRecord</w:t>
            </w:r>
          </w:p>
        </w:tc>
        <w:tc>
          <w:tcPr>
            <w:tcW w:type="dxa" w:w="4968"/>
            <w:vAlign w:val="center"/>
          </w:tcPr>
          <w:p>
            <w:pPr>
              <w:spacing w:after="40"/>
            </w:pPr>
            <w:r/>
            <w:r>
              <w:rPr>
                <w:rFonts w:ascii="Aptos" w:hAnsi="Aptos"/>
                <w:b w:val="0"/>
                <w:sz w:val="16"/>
              </w:rPr>
              <w:t>Stable URL/identifier; title; publisher/author; publication date; access date; source type; methodology; relevant passage/page; conflicts; limitations; archived copy or hash where lawful.</w:t>
            </w:r>
          </w:p>
        </w:tc>
      </w:tr>
      <w:tr>
        <w:tc>
          <w:tcPr>
            <w:tcW w:type="dxa" w:w="4968"/>
            <w:vAlign w:val="center"/>
          </w:tcPr>
          <w:p>
            <w:pPr>
              <w:spacing w:after="40"/>
            </w:pPr>
            <w:r/>
            <w:r>
              <w:rPr>
                <w:rFonts w:ascii="Aptos" w:hAnsi="Aptos"/>
                <w:b w:val="0"/>
                <w:sz w:val="16"/>
              </w:rPr>
              <w:t>EvidenceLink</w:t>
            </w:r>
          </w:p>
        </w:tc>
        <w:tc>
          <w:tcPr>
            <w:tcW w:type="dxa" w:w="4968"/>
            <w:vAlign w:val="center"/>
          </w:tcPr>
          <w:p>
            <w:pPr>
              <w:spacing w:after="40"/>
            </w:pPr>
            <w:r/>
            <w:r>
              <w:rPr>
                <w:rFonts w:ascii="Aptos" w:hAnsi="Aptos"/>
                <w:b w:val="0"/>
                <w:sz w:val="16"/>
              </w:rPr>
              <w:t>Claim supported/contradicted/contextualised by source; direction; strength rationale; reviewer; notes; date checked.</w:t>
            </w:r>
          </w:p>
        </w:tc>
      </w:tr>
      <w:tr>
        <w:tc>
          <w:tcPr>
            <w:tcW w:type="dxa" w:w="4968"/>
            <w:vAlign w:val="center"/>
          </w:tcPr>
          <w:p>
            <w:pPr>
              <w:spacing w:after="40"/>
            </w:pPr>
            <w:r/>
            <w:r>
              <w:rPr>
                <w:rFonts w:ascii="Aptos" w:hAnsi="Aptos"/>
                <w:b w:val="0"/>
                <w:sz w:val="16"/>
              </w:rPr>
              <w:t>DependencyEdge</w:t>
            </w:r>
          </w:p>
        </w:tc>
        <w:tc>
          <w:tcPr>
            <w:tcW w:type="dxa" w:w="4968"/>
            <w:vAlign w:val="center"/>
          </w:tcPr>
          <w:p>
            <w:pPr>
              <w:spacing w:after="40"/>
            </w:pPr>
            <w:r/>
            <w:r>
              <w:rPr>
                <w:rFonts w:ascii="Aptos" w:hAnsi="Aptos"/>
                <w:b w:val="0"/>
                <w:sz w:val="16"/>
              </w:rPr>
              <w:t>Upstream claim/assumption; downstream claim/policy; edge type; rationale; affected scope; confidence in dependency.</w:t>
            </w:r>
          </w:p>
        </w:tc>
      </w:tr>
      <w:tr>
        <w:tc>
          <w:tcPr>
            <w:tcW w:type="dxa" w:w="4968"/>
            <w:vAlign w:val="center"/>
          </w:tcPr>
          <w:p>
            <w:pPr>
              <w:spacing w:after="40"/>
            </w:pPr>
            <w:r/>
            <w:r>
              <w:rPr>
                <w:rFonts w:ascii="Aptos" w:hAnsi="Aptos"/>
                <w:b w:val="0"/>
                <w:sz w:val="16"/>
              </w:rPr>
              <w:t>PolicyOption</w:t>
            </w:r>
          </w:p>
        </w:tc>
        <w:tc>
          <w:tcPr>
            <w:tcW w:type="dxa" w:w="4968"/>
            <w:vAlign w:val="center"/>
          </w:tcPr>
          <w:p>
            <w:pPr>
              <w:spacing w:after="40"/>
            </w:pPr>
            <w:r/>
            <w:r>
              <w:rPr>
                <w:rFonts w:ascii="Aptos" w:hAnsi="Aptos"/>
                <w:b w:val="0"/>
                <w:sz w:val="16"/>
              </w:rPr>
              <w:t>Mechanism; target population; responsible institution; implementation path; fiscal and non-fiscal costs; distributional effects; risks; alternatives; success indicators; review date.</w:t>
            </w:r>
          </w:p>
        </w:tc>
      </w:tr>
      <w:tr>
        <w:tc>
          <w:tcPr>
            <w:tcW w:type="dxa" w:w="4968"/>
            <w:vAlign w:val="center"/>
          </w:tcPr>
          <w:p>
            <w:pPr>
              <w:spacing w:after="40"/>
            </w:pPr>
            <w:r/>
            <w:r>
              <w:rPr>
                <w:rFonts w:ascii="Aptos" w:hAnsi="Aptos"/>
                <w:b w:val="0"/>
                <w:sz w:val="16"/>
              </w:rPr>
              <w:t>DecisionRecord</w:t>
            </w:r>
          </w:p>
        </w:tc>
        <w:tc>
          <w:tcPr>
            <w:tcW w:type="dxa" w:w="4968"/>
            <w:vAlign w:val="center"/>
          </w:tcPr>
          <w:p>
            <w:pPr>
              <w:spacing w:after="40"/>
            </w:pPr>
            <w:r/>
            <w:r>
              <w:rPr>
                <w:rFonts w:ascii="Aptos" w:hAnsi="Aptos"/>
                <w:b w:val="0"/>
                <w:sz w:val="16"/>
              </w:rPr>
              <w:t>Decision made by whom; criteria; values considered; alternatives; dissent; unresolved uncertainty; conditions for reversal.</w:t>
            </w:r>
          </w:p>
        </w:tc>
      </w:tr>
      <w:tr>
        <w:tc>
          <w:tcPr>
            <w:tcW w:type="dxa" w:w="4968"/>
            <w:vAlign w:val="center"/>
          </w:tcPr>
          <w:p>
            <w:pPr>
              <w:spacing w:after="40"/>
            </w:pPr>
            <w:r/>
            <w:r>
              <w:rPr>
                <w:rFonts w:ascii="Aptos" w:hAnsi="Aptos"/>
                <w:b w:val="0"/>
                <w:sz w:val="16"/>
              </w:rPr>
              <w:t>CorrectionRecord</w:t>
            </w:r>
          </w:p>
        </w:tc>
        <w:tc>
          <w:tcPr>
            <w:tcW w:type="dxa" w:w="4968"/>
            <w:vAlign w:val="center"/>
          </w:tcPr>
          <w:p>
            <w:pPr>
              <w:spacing w:after="40"/>
            </w:pPr>
            <w:r/>
            <w:r>
              <w:rPr>
                <w:rFonts w:ascii="Aptos" w:hAnsi="Aptos"/>
                <w:b w:val="0"/>
                <w:sz w:val="16"/>
              </w:rPr>
              <w:t>Original text; correction; reason; source; affected downstream records; author/reviewer; timestamp; notification status.</w:t>
            </w:r>
          </w:p>
        </w:tc>
      </w:tr>
      <w:tr>
        <w:tc>
          <w:tcPr>
            <w:tcW w:type="dxa" w:w="4968"/>
            <w:vAlign w:val="center"/>
          </w:tcPr>
          <w:p>
            <w:pPr>
              <w:spacing w:after="40"/>
            </w:pPr>
            <w:r/>
            <w:r>
              <w:rPr>
                <w:rFonts w:ascii="Aptos" w:hAnsi="Aptos"/>
                <w:b w:val="0"/>
                <w:sz w:val="16"/>
              </w:rPr>
              <w:t>MetricRecord</w:t>
            </w:r>
          </w:p>
        </w:tc>
        <w:tc>
          <w:tcPr>
            <w:tcW w:type="dxa" w:w="4968"/>
            <w:vAlign w:val="center"/>
          </w:tcPr>
          <w:p>
            <w:pPr>
              <w:spacing w:after="40"/>
            </w:pPr>
            <w:r/>
            <w:r>
              <w:rPr>
                <w:rFonts w:ascii="Aptos" w:hAnsi="Aptos"/>
                <w:b w:val="0"/>
                <w:sz w:val="16"/>
              </w:rPr>
              <w:t>Metric definition/version; inputs; units; missing-data rules; calibration; uncertainty; sensitivity; known failure modes.</w:t>
            </w:r>
          </w:p>
        </w:tc>
      </w:tr>
    </w:tbl>
    <w:p/>
    <w:p>
      <w:pPr>
        <w:pStyle w:val="Heading2"/>
      </w:pPr>
      <w:r>
        <w:t>4.3 Change propagation protocol</w:t>
      </w:r>
    </w:p>
    <w:p>
      <w:pPr>
        <w:pStyle w:val="ListNumber"/>
        <w:spacing w:after="40"/>
      </w:pPr>
      <w:r>
        <w:t>A source changes, is retracted, or is found unreliable—or a key assumption is challenged.</w:t>
      </w:r>
    </w:p>
    <w:p>
      <w:pPr>
        <w:pStyle w:val="ListNumber"/>
        <w:spacing w:after="40"/>
      </w:pPr>
      <w:r>
        <w:t>CASCADE marks directly dependent records as “review required”; it does not automatically declare them false.</w:t>
      </w:r>
    </w:p>
    <w:p>
      <w:pPr>
        <w:pStyle w:val="ListNumber"/>
        <w:spacing w:after="40"/>
      </w:pPr>
      <w:r>
        <w:t>The graph lists downstream claims, policy options and public briefs that may be affected.</w:t>
      </w:r>
    </w:p>
    <w:p>
      <w:pPr>
        <w:pStyle w:val="ListNumber"/>
        <w:spacing w:after="40"/>
      </w:pPr>
      <w:r>
        <w:t>A reviewer checks each dependency, records whether the change alters the conclusion, and documents why.</w:t>
      </w:r>
    </w:p>
    <w:p>
      <w:pPr>
        <w:pStyle w:val="ListNumber"/>
        <w:spacing w:after="40"/>
      </w:pPr>
      <w:r>
        <w:t>Published outputs receive a version update and correction note; prior versions remain inspectable.</w:t>
      </w:r>
    </w:p>
    <w:p>
      <w:pPr>
        <w:pStyle w:val="ListNumber"/>
        <w:spacing w:after="40"/>
      </w:pPr>
      <w:r>
        <w:t>A separate reviewer signs off on high-impact changes. Automatic promotion/demotion between layers is prohibited in v0.1.</w:t>
      </w:r>
    </w:p>
    <w:p>
      <w:pPr>
        <w:pStyle w:val="Heading2"/>
      </w:pPr>
      <w:r>
        <w:t>4.4 AURA constitutional laboratory</w:t>
      </w:r>
    </w:p>
    <w:p>
      <w:r>
        <w:t>AURA should be implemented first as a transparent decision record and checklist, not as a black-box numerical judge. Its job is to force clarity about purpose, foreseeable harm, distribution, reversibility, evidence quality and constructive alternatives. The project may later test TE, VTR and PAI as metrics, but only after each is mathematically specified and validated.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Aptos" w:hAnsi="Aptos"/>
                <w:b/>
                <w:sz w:val="17"/>
              </w:rPr>
              <w:t>AURA element</w:t>
            </w:r>
          </w:p>
        </w:tc>
        <w:tc>
          <w:tcPr>
            <w:tcW w:type="dxa" w:w="3312"/>
            <w:vAlign w:val="center"/>
            <w:shd w:fill="D9EAF7"/>
          </w:tcPr>
          <w:p>
            <w:pPr>
              <w:spacing w:after="40"/>
            </w:pPr>
            <w:r/>
            <w:r>
              <w:rPr>
                <w:rFonts w:ascii="Aptos" w:hAnsi="Aptos"/>
                <w:b/>
                <w:sz w:val="17"/>
              </w:rPr>
              <w:t>Initial operational interpretation</w:t>
            </w:r>
          </w:p>
        </w:tc>
        <w:tc>
          <w:tcPr>
            <w:tcW w:type="dxa" w:w="3312"/>
            <w:vAlign w:val="center"/>
            <w:shd w:fill="D9EAF7"/>
          </w:tcPr>
          <w:p>
            <w:pPr>
              <w:spacing w:after="40"/>
            </w:pPr>
            <w:r/>
            <w:r>
              <w:rPr>
                <w:rFonts w:ascii="Aptos" w:hAnsi="Aptos"/>
                <w:b/>
                <w:sz w:val="17"/>
              </w:rPr>
              <w:t>Guardrail</w:t>
            </w:r>
          </w:p>
        </w:tc>
      </w:tr>
      <w:tr>
        <w:tc>
          <w:tcPr>
            <w:tcW w:type="dxa" w:w="3312"/>
            <w:vAlign w:val="center"/>
          </w:tcPr>
          <w:p>
            <w:pPr>
              <w:spacing w:after="40"/>
            </w:pPr>
            <w:r/>
            <w:r>
              <w:rPr>
                <w:rFonts w:ascii="Aptos" w:hAnsi="Aptos"/>
                <w:b w:val="0"/>
                <w:sz w:val="16"/>
              </w:rPr>
              <w:t>Trust Entropy (TE)</w:t>
            </w:r>
          </w:p>
        </w:tc>
        <w:tc>
          <w:tcPr>
            <w:tcW w:type="dxa" w:w="3312"/>
            <w:vAlign w:val="center"/>
          </w:tcPr>
          <w:p>
            <w:pPr>
              <w:spacing w:after="40"/>
            </w:pPr>
            <w:r/>
            <w:r>
              <w:rPr>
                <w:rFonts w:ascii="Aptos" w:hAnsi="Aptos"/>
                <w:b w:val="0"/>
                <w:sz w:val="16"/>
              </w:rPr>
              <w:t>Candidate measure of contradictions, source uncertainty or friction in a reasoning chain—exact meaning remains to be specified.</w:t>
            </w:r>
          </w:p>
        </w:tc>
        <w:tc>
          <w:tcPr>
            <w:tcW w:type="dxa" w:w="3312"/>
            <w:vAlign w:val="center"/>
          </w:tcPr>
          <w:p>
            <w:pPr>
              <w:spacing w:after="40"/>
            </w:pPr>
            <w:r/>
            <w:r>
              <w:rPr>
                <w:rFonts w:ascii="Aptos" w:hAnsi="Aptos"/>
                <w:b w:val="0"/>
                <w:sz w:val="16"/>
              </w:rPr>
              <w:t>Do not conflate public trust, epistemic uncertainty and logical inconsistency; these are different constructs.</w:t>
            </w:r>
          </w:p>
        </w:tc>
      </w:tr>
      <w:tr>
        <w:tc>
          <w:tcPr>
            <w:tcW w:type="dxa" w:w="3312"/>
            <w:vAlign w:val="center"/>
          </w:tcPr>
          <w:p>
            <w:pPr>
              <w:spacing w:after="40"/>
            </w:pPr>
            <w:r/>
            <w:r>
              <w:rPr>
                <w:rFonts w:ascii="Aptos" w:hAnsi="Aptos"/>
                <w:b w:val="0"/>
                <w:sz w:val="16"/>
              </w:rPr>
              <w:t>Value-Transfer Ratio (VTR)</w:t>
            </w:r>
          </w:p>
        </w:tc>
        <w:tc>
          <w:tcPr>
            <w:tcW w:type="dxa" w:w="3312"/>
            <w:vAlign w:val="center"/>
          </w:tcPr>
          <w:p>
            <w:pPr>
              <w:spacing w:after="40"/>
            </w:pPr>
            <w:r/>
            <w:r>
              <w:rPr>
                <w:rFonts w:ascii="Aptos" w:hAnsi="Aptos"/>
                <w:b w:val="0"/>
                <w:sz w:val="16"/>
              </w:rPr>
              <w:t>Candidate measure of how costs, benefits, risks and power move among affected groups over time.</w:t>
            </w:r>
          </w:p>
        </w:tc>
        <w:tc>
          <w:tcPr>
            <w:tcW w:type="dxa" w:w="3312"/>
            <w:vAlign w:val="center"/>
          </w:tcPr>
          <w:p>
            <w:pPr>
              <w:spacing w:after="40"/>
            </w:pPr>
            <w:r/>
            <w:r>
              <w:rPr>
                <w:rFonts w:ascii="Aptos" w:hAnsi="Aptos"/>
                <w:b w:val="0"/>
                <w:sz w:val="16"/>
              </w:rPr>
              <w:t>Avoid a single aggregate that hides distribution, rights violations or non-monetisable impacts.</w:t>
            </w:r>
          </w:p>
        </w:tc>
      </w:tr>
      <w:tr>
        <w:tc>
          <w:tcPr>
            <w:tcW w:type="dxa" w:w="3312"/>
            <w:vAlign w:val="center"/>
          </w:tcPr>
          <w:p>
            <w:pPr>
              <w:spacing w:after="40"/>
            </w:pPr>
            <w:r/>
            <w:r>
              <w:rPr>
                <w:rFonts w:ascii="Aptos" w:hAnsi="Aptos"/>
                <w:b w:val="0"/>
                <w:sz w:val="16"/>
              </w:rPr>
              <w:t>Purpose Alignment Index (PAI)</w:t>
            </w:r>
          </w:p>
        </w:tc>
        <w:tc>
          <w:tcPr>
            <w:tcW w:type="dxa" w:w="3312"/>
            <w:vAlign w:val="center"/>
          </w:tcPr>
          <w:p>
            <w:pPr>
              <w:spacing w:after="40"/>
            </w:pPr>
            <w:r/>
            <w:r>
              <w:rPr>
                <w:rFonts w:ascii="Aptos" w:hAnsi="Aptos"/>
                <w:b w:val="0"/>
                <w:sz w:val="16"/>
              </w:rPr>
              <w:t>Structured mapping of a policy option to declared objectives and values.</w:t>
            </w:r>
          </w:p>
        </w:tc>
        <w:tc>
          <w:tcPr>
            <w:tcW w:type="dxa" w:w="3312"/>
            <w:vAlign w:val="center"/>
          </w:tcPr>
          <w:p>
            <w:pPr>
              <w:spacing w:after="40"/>
            </w:pPr>
            <w:r/>
            <w:r>
              <w:rPr>
                <w:rFonts w:ascii="Aptos" w:hAnsi="Aptos"/>
                <w:b w:val="0"/>
                <w:sz w:val="16"/>
              </w:rPr>
              <w:t>Values are plural and contestable; display each dimension and disagreement rather than a total score alone.</w:t>
            </w:r>
          </w:p>
        </w:tc>
      </w:tr>
      <w:tr>
        <w:tc>
          <w:tcPr>
            <w:tcW w:type="dxa" w:w="3312"/>
            <w:vAlign w:val="center"/>
          </w:tcPr>
          <w:p>
            <w:pPr>
              <w:spacing w:after="40"/>
            </w:pPr>
            <w:r/>
            <w:r>
              <w:rPr>
                <w:rFonts w:ascii="Aptos" w:hAnsi="Aptos"/>
                <w:b w:val="0"/>
                <w:sz w:val="16"/>
              </w:rPr>
              <w:t>Vector Inversion Protocol</w:t>
            </w:r>
          </w:p>
        </w:tc>
        <w:tc>
          <w:tcPr>
            <w:tcW w:type="dxa" w:w="3312"/>
            <w:vAlign w:val="center"/>
          </w:tcPr>
          <w:p>
            <w:pPr>
              <w:spacing w:after="40"/>
            </w:pPr>
            <w:r/>
            <w:r>
              <w:rPr>
                <w:rFonts w:ascii="Aptos" w:hAnsi="Aptos"/>
                <w:b w:val="0"/>
                <w:sz w:val="16"/>
              </w:rPr>
              <w:t>Generate feasible alternatives that address the stated problem while changing the problematic mechanism.</w:t>
            </w:r>
          </w:p>
        </w:tc>
        <w:tc>
          <w:tcPr>
            <w:tcW w:type="dxa" w:w="3312"/>
            <w:vAlign w:val="center"/>
          </w:tcPr>
          <w:p>
            <w:pPr>
              <w:spacing w:after="40"/>
            </w:pPr>
            <w:r/>
            <w:r>
              <w:rPr>
                <w:rFonts w:ascii="Aptos" w:hAnsi="Aptos"/>
                <w:b w:val="0"/>
                <w:sz w:val="16"/>
              </w:rPr>
              <w:t>Compare alternatives using the same criteria; do not presume the generated alternative is superior.</w:t>
            </w:r>
          </w:p>
        </w:tc>
      </w:tr>
    </w:tbl>
    <w:p/>
    <w:p>
      <w:r>
        <w:t>AURA must not turn a value preference into an empirical fact. For example, “protect individual dignity” is a normative commitment; “this policy improves wellbeing for group X by Y” is an empirical claim; “this trade-off is justified” is a deliberative judgement. Keep these separate in the schema.</w:t>
      </w:r>
    </w:p>
    <w:p>
      <w:pPr>
        <w:pStyle w:val="Heading2"/>
      </w:pPr>
      <w:r>
        <w:t>4.5 Policy Forge: common review template</w:t>
      </w:r>
    </w:p>
    <w:p>
      <w:pPr>
        <w:pStyle w:val="ListBullet"/>
        <w:spacing w:after="40"/>
      </w:pPr>
      <w:r>
        <w:t>Problem statement and baseline: what is happening, to whom, over what period, and how is it measured?</w:t>
      </w:r>
    </w:p>
    <w:p>
      <w:pPr>
        <w:pStyle w:val="ListBullet"/>
        <w:spacing w:after="40"/>
      </w:pPr>
      <w:r>
        <w:t>Mechanism: how is the proposed intervention expected to change the baseline?</w:t>
      </w:r>
    </w:p>
    <w:p>
      <w:pPr>
        <w:pStyle w:val="ListBullet"/>
        <w:spacing w:after="40"/>
      </w:pPr>
      <w:r>
        <w:t>Evidence: best available causal evidence, descriptive data, local knowledge, and relevant counter-evidence.</w:t>
      </w:r>
    </w:p>
    <w:p>
      <w:pPr>
        <w:pStyle w:val="ListBullet"/>
        <w:spacing w:after="40"/>
      </w:pPr>
      <w:r>
        <w:t>Options: status quo, proposed intervention, credible alternatives, and non-legislative options.</w:t>
      </w:r>
    </w:p>
    <w:p>
      <w:pPr>
        <w:pStyle w:val="ListBullet"/>
        <w:spacing w:after="40"/>
      </w:pPr>
      <w:r>
        <w:t>Impact map: benefits, costs, distributional effects, uncertainty, time horizon and affected groups.</w:t>
      </w:r>
    </w:p>
    <w:p>
      <w:pPr>
        <w:pStyle w:val="ListBullet"/>
        <w:spacing w:after="40"/>
      </w:pPr>
      <w:r>
        <w:t>Legal and institutional fit: statutory authority, rights, Te Tiriti implications, implementation responsibility and accountability.</w:t>
      </w:r>
    </w:p>
    <w:p>
      <w:pPr>
        <w:pStyle w:val="ListBullet"/>
        <w:spacing w:after="40"/>
      </w:pPr>
      <w:r>
        <w:t>Fiscal analysis: upfront and ongoing costs, opportunity costs, assumptions, sensitivity ranges and fiscal risks.</w:t>
      </w:r>
    </w:p>
    <w:p>
      <w:pPr>
        <w:pStyle w:val="ListBullet"/>
        <w:spacing w:after="40"/>
      </w:pPr>
      <w:r>
        <w:t>Implementation: workforce, delivery capacity, sequencing, dependencies, transition risks and monitoring.</w:t>
      </w:r>
    </w:p>
    <w:p>
      <w:pPr>
        <w:pStyle w:val="ListBullet"/>
        <w:spacing w:after="40"/>
      </w:pPr>
      <w:r>
        <w:t>Evaluation: measurable outcomes, baseline, comparison strategy where feasible, review date and stop/change conditions.</w:t>
      </w:r>
    </w:p>
    <w:p>
      <w:pPr>
        <w:pStyle w:val="ListBullet"/>
        <w:spacing w:after="40"/>
      </w:pPr>
      <w:r>
        <w:t>Dissent and limits: strongest objections, what would falsify the recommendation, and what remains unknown.</w:t>
      </w:r>
    </w:p>
    <w:p>
      <w:r>
        <w:t>Treasury's CBAx guidance is a useful local comparator: it encourages consistent cost-benefit analysis, broad and long-term social impact assessment, explicit assumptions and evidence, while warning that results are not the sole basis for decisions and that unmonetised impacts matter. The Living Standards Framework also prompts analysis of wellbeing dimensions, long-term effects and distribution, and has evolved to better reflect culture, children’s wellbeing and compatibility with te ao Māori and Pacific cultures. Anon Politician should learn from these tools rather than claim to replace them. [2, 3]</w:t>
      </w:r>
    </w:p>
    <w:p>
      <w:pPr>
        <w:pStyle w:val="Heading1"/>
      </w:pPr>
      <w:r>
        <w:t>5. Evidence protocol and claim lifecycle</w:t>
      </w:r>
    </w:p>
    <w:p>
      <w:pPr>
        <w:pStyle w:val="Heading2"/>
      </w:pPr>
      <w:r>
        <w:t>5.1 Claim status vocabulary</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Aptos" w:hAnsi="Aptos"/>
                <w:b/>
                <w:sz w:val="17"/>
              </w:rPr>
              <w:t>Status</w:t>
            </w:r>
          </w:p>
        </w:tc>
        <w:tc>
          <w:tcPr>
            <w:tcW w:type="dxa" w:w="4968"/>
            <w:vAlign w:val="center"/>
            <w:shd w:fill="D9EAF7"/>
          </w:tcPr>
          <w:p>
            <w:pPr>
              <w:spacing w:after="40"/>
            </w:pPr>
            <w:r/>
            <w:r>
              <w:rPr>
                <w:rFonts w:ascii="Aptos" w:hAnsi="Aptos"/>
                <w:b/>
                <w:sz w:val="17"/>
              </w:rPr>
              <w:t>Definition</w:t>
            </w:r>
          </w:p>
        </w:tc>
      </w:tr>
      <w:tr>
        <w:tc>
          <w:tcPr>
            <w:tcW w:type="dxa" w:w="4968"/>
            <w:vAlign w:val="center"/>
          </w:tcPr>
          <w:p>
            <w:pPr>
              <w:spacing w:after="40"/>
            </w:pPr>
            <w:r/>
            <w:r>
              <w:rPr>
                <w:rFonts w:ascii="Aptos" w:hAnsi="Aptos"/>
                <w:b w:val="0"/>
                <w:sz w:val="16"/>
              </w:rPr>
              <w:t>Unreviewed</w:t>
            </w:r>
          </w:p>
        </w:tc>
        <w:tc>
          <w:tcPr>
            <w:tcW w:type="dxa" w:w="4968"/>
            <w:vAlign w:val="center"/>
          </w:tcPr>
          <w:p>
            <w:pPr>
              <w:spacing w:after="40"/>
            </w:pPr>
            <w:r/>
            <w:r>
              <w:rPr>
                <w:rFonts w:ascii="Aptos" w:hAnsi="Aptos"/>
                <w:b w:val="0"/>
                <w:sz w:val="16"/>
              </w:rPr>
              <w:t>Captured but not yet assessed.</w:t>
            </w:r>
          </w:p>
        </w:tc>
      </w:tr>
      <w:tr>
        <w:tc>
          <w:tcPr>
            <w:tcW w:type="dxa" w:w="4968"/>
            <w:vAlign w:val="center"/>
          </w:tcPr>
          <w:p>
            <w:pPr>
              <w:spacing w:after="40"/>
            </w:pPr>
            <w:r/>
            <w:r>
              <w:rPr>
                <w:rFonts w:ascii="Aptos" w:hAnsi="Aptos"/>
                <w:b w:val="0"/>
                <w:sz w:val="16"/>
              </w:rPr>
              <w:t>Supported</w:t>
            </w:r>
          </w:p>
        </w:tc>
        <w:tc>
          <w:tcPr>
            <w:tcW w:type="dxa" w:w="4968"/>
            <w:vAlign w:val="center"/>
          </w:tcPr>
          <w:p>
            <w:pPr>
              <w:spacing w:after="40"/>
            </w:pPr>
            <w:r/>
            <w:r>
              <w:rPr>
                <w:rFonts w:ascii="Aptos" w:hAnsi="Aptos"/>
                <w:b w:val="0"/>
                <w:sz w:val="16"/>
              </w:rPr>
              <w:t>At least one relevant source supports the claim; quality and scope still need to be visible.</w:t>
            </w:r>
          </w:p>
        </w:tc>
      </w:tr>
      <w:tr>
        <w:tc>
          <w:tcPr>
            <w:tcW w:type="dxa" w:w="4968"/>
            <w:vAlign w:val="center"/>
          </w:tcPr>
          <w:p>
            <w:pPr>
              <w:spacing w:after="40"/>
            </w:pPr>
            <w:r/>
            <w:r>
              <w:rPr>
                <w:rFonts w:ascii="Aptos" w:hAnsi="Aptos"/>
                <w:b w:val="0"/>
                <w:sz w:val="16"/>
              </w:rPr>
              <w:t>Corroborated</w:t>
            </w:r>
          </w:p>
        </w:tc>
        <w:tc>
          <w:tcPr>
            <w:tcW w:type="dxa" w:w="4968"/>
            <w:vAlign w:val="center"/>
          </w:tcPr>
          <w:p>
            <w:pPr>
              <w:spacing w:after="40"/>
            </w:pPr>
            <w:r/>
            <w:r>
              <w:rPr>
                <w:rFonts w:ascii="Aptos" w:hAnsi="Aptos"/>
                <w:b w:val="0"/>
                <w:sz w:val="16"/>
              </w:rPr>
              <w:t>Supported by multiple sufficiently independent sources or methods.</w:t>
            </w:r>
          </w:p>
        </w:tc>
      </w:tr>
      <w:tr>
        <w:tc>
          <w:tcPr>
            <w:tcW w:type="dxa" w:w="4968"/>
            <w:vAlign w:val="center"/>
          </w:tcPr>
          <w:p>
            <w:pPr>
              <w:spacing w:after="40"/>
            </w:pPr>
            <w:r/>
            <w:r>
              <w:rPr>
                <w:rFonts w:ascii="Aptos" w:hAnsi="Aptos"/>
                <w:b w:val="0"/>
                <w:sz w:val="16"/>
              </w:rPr>
              <w:t>Contested</w:t>
            </w:r>
          </w:p>
        </w:tc>
        <w:tc>
          <w:tcPr>
            <w:tcW w:type="dxa" w:w="4968"/>
            <w:vAlign w:val="center"/>
          </w:tcPr>
          <w:p>
            <w:pPr>
              <w:spacing w:after="40"/>
            </w:pPr>
            <w:r/>
            <w:r>
              <w:rPr>
                <w:rFonts w:ascii="Aptos" w:hAnsi="Aptos"/>
                <w:b w:val="0"/>
                <w:sz w:val="16"/>
              </w:rPr>
              <w:t>Credible sources or methods conflict, or the claim depends on disputed assumptions.</w:t>
            </w:r>
          </w:p>
        </w:tc>
      </w:tr>
      <w:tr>
        <w:tc>
          <w:tcPr>
            <w:tcW w:type="dxa" w:w="4968"/>
            <w:vAlign w:val="center"/>
          </w:tcPr>
          <w:p>
            <w:pPr>
              <w:spacing w:after="40"/>
            </w:pPr>
            <w:r/>
            <w:r>
              <w:rPr>
                <w:rFonts w:ascii="Aptos" w:hAnsi="Aptos"/>
                <w:b w:val="0"/>
                <w:sz w:val="16"/>
              </w:rPr>
              <w:t>Context-limited</w:t>
            </w:r>
          </w:p>
        </w:tc>
        <w:tc>
          <w:tcPr>
            <w:tcW w:type="dxa" w:w="4968"/>
            <w:vAlign w:val="center"/>
          </w:tcPr>
          <w:p>
            <w:pPr>
              <w:spacing w:after="40"/>
            </w:pPr>
            <w:r/>
            <w:r>
              <w:rPr>
                <w:rFonts w:ascii="Aptos" w:hAnsi="Aptos"/>
                <w:b w:val="0"/>
                <w:sz w:val="16"/>
              </w:rPr>
              <w:t>Supported only for a stated time, population, jurisdiction or setting.</w:t>
            </w:r>
          </w:p>
        </w:tc>
      </w:tr>
      <w:tr>
        <w:tc>
          <w:tcPr>
            <w:tcW w:type="dxa" w:w="4968"/>
            <w:vAlign w:val="center"/>
          </w:tcPr>
          <w:p>
            <w:pPr>
              <w:spacing w:after="40"/>
            </w:pPr>
            <w:r/>
            <w:r>
              <w:rPr>
                <w:rFonts w:ascii="Aptos" w:hAnsi="Aptos"/>
                <w:b w:val="0"/>
                <w:sz w:val="16"/>
              </w:rPr>
              <w:t>Refuted / contradicted</w:t>
            </w:r>
          </w:p>
        </w:tc>
        <w:tc>
          <w:tcPr>
            <w:tcW w:type="dxa" w:w="4968"/>
            <w:vAlign w:val="center"/>
          </w:tcPr>
          <w:p>
            <w:pPr>
              <w:spacing w:after="40"/>
            </w:pPr>
            <w:r/>
            <w:r>
              <w:rPr>
                <w:rFonts w:ascii="Aptos" w:hAnsi="Aptos"/>
                <w:b w:val="0"/>
                <w:sz w:val="16"/>
              </w:rPr>
              <w:t>Evidence materially conflicts with the claim within its stated scope; explanation and reviewer recorded.</w:t>
            </w:r>
          </w:p>
        </w:tc>
      </w:tr>
      <w:tr>
        <w:tc>
          <w:tcPr>
            <w:tcW w:type="dxa" w:w="4968"/>
            <w:vAlign w:val="center"/>
          </w:tcPr>
          <w:p>
            <w:pPr>
              <w:spacing w:after="40"/>
            </w:pPr>
            <w:r/>
            <w:r>
              <w:rPr>
                <w:rFonts w:ascii="Aptos" w:hAnsi="Aptos"/>
                <w:b w:val="0"/>
                <w:sz w:val="16"/>
              </w:rPr>
              <w:t>Retracted / superseded</w:t>
            </w:r>
          </w:p>
        </w:tc>
        <w:tc>
          <w:tcPr>
            <w:tcW w:type="dxa" w:w="4968"/>
            <w:vAlign w:val="center"/>
          </w:tcPr>
          <w:p>
            <w:pPr>
              <w:spacing w:after="40"/>
            </w:pPr>
            <w:r/>
            <w:r>
              <w:rPr>
                <w:rFonts w:ascii="Aptos" w:hAnsi="Aptos"/>
                <w:b w:val="0"/>
                <w:sz w:val="16"/>
              </w:rPr>
              <w:t>Source or prior version withdrawn or replaced; preserve history.</w:t>
            </w:r>
          </w:p>
        </w:tc>
      </w:tr>
      <w:tr>
        <w:tc>
          <w:tcPr>
            <w:tcW w:type="dxa" w:w="4968"/>
            <w:vAlign w:val="center"/>
          </w:tcPr>
          <w:p>
            <w:pPr>
              <w:spacing w:after="40"/>
            </w:pPr>
            <w:r/>
            <w:r>
              <w:rPr>
                <w:rFonts w:ascii="Aptos" w:hAnsi="Aptos"/>
                <w:b w:val="0"/>
                <w:sz w:val="16"/>
              </w:rPr>
              <w:t>Normative commitment</w:t>
            </w:r>
          </w:p>
        </w:tc>
        <w:tc>
          <w:tcPr>
            <w:tcW w:type="dxa" w:w="4968"/>
            <w:vAlign w:val="center"/>
          </w:tcPr>
          <w:p>
            <w:pPr>
              <w:spacing w:after="40"/>
            </w:pPr>
            <w:r/>
            <w:r>
              <w:rPr>
                <w:rFonts w:ascii="Aptos" w:hAnsi="Aptos"/>
                <w:b w:val="0"/>
                <w:sz w:val="16"/>
              </w:rPr>
              <w:t>Value or ethical principle, not a fact claim to be empirically “proved.”</w:t>
            </w:r>
          </w:p>
        </w:tc>
      </w:tr>
      <w:tr>
        <w:tc>
          <w:tcPr>
            <w:tcW w:type="dxa" w:w="4968"/>
            <w:vAlign w:val="center"/>
          </w:tcPr>
          <w:p>
            <w:pPr>
              <w:spacing w:after="40"/>
            </w:pPr>
            <w:r/>
            <w:r>
              <w:rPr>
                <w:rFonts w:ascii="Aptos" w:hAnsi="Aptos"/>
                <w:b w:val="0"/>
                <w:sz w:val="16"/>
              </w:rPr>
              <w:t>Proposal / hypothesis</w:t>
            </w:r>
          </w:p>
        </w:tc>
        <w:tc>
          <w:tcPr>
            <w:tcW w:type="dxa" w:w="4968"/>
            <w:vAlign w:val="center"/>
          </w:tcPr>
          <w:p>
            <w:pPr>
              <w:spacing w:after="40"/>
            </w:pPr>
            <w:r/>
            <w:r>
              <w:rPr>
                <w:rFonts w:ascii="Aptos" w:hAnsi="Aptos"/>
                <w:b w:val="0"/>
                <w:sz w:val="16"/>
              </w:rPr>
              <w:t>A possible explanation or intervention awaiting sufficient testing.</w:t>
            </w:r>
          </w:p>
        </w:tc>
      </w:tr>
      <w:tr>
        <w:tc>
          <w:tcPr>
            <w:tcW w:type="dxa" w:w="4968"/>
            <w:vAlign w:val="center"/>
          </w:tcPr>
          <w:p>
            <w:pPr>
              <w:spacing w:after="40"/>
            </w:pPr>
            <w:r/>
            <w:r>
              <w:rPr>
                <w:rFonts w:ascii="Aptos" w:hAnsi="Aptos"/>
                <w:b w:val="0"/>
                <w:sz w:val="16"/>
              </w:rPr>
              <w:t>Unknown</w:t>
            </w:r>
          </w:p>
        </w:tc>
        <w:tc>
          <w:tcPr>
            <w:tcW w:type="dxa" w:w="4968"/>
            <w:vAlign w:val="center"/>
          </w:tcPr>
          <w:p>
            <w:pPr>
              <w:spacing w:after="40"/>
            </w:pPr>
            <w:r/>
            <w:r>
              <w:rPr>
                <w:rFonts w:ascii="Aptos" w:hAnsi="Aptos"/>
                <w:b w:val="0"/>
                <w:sz w:val="16"/>
              </w:rPr>
              <w:t>Evidence is insufficient, inaccessible or too weak to support a conclusion.</w:t>
            </w:r>
          </w:p>
        </w:tc>
      </w:tr>
    </w:tbl>
    <w:p/>
    <w:p>
      <w:pPr>
        <w:pStyle w:val="Heading2"/>
      </w:pPr>
      <w:r>
        <w:t>5.2 Evidence hierarchy is contextual, not mechanical</w:t>
      </w:r>
    </w:p>
    <w:p>
      <w:r>
        <w:t>Randomised studies can help answer some causal questions but may not be feasible or ethical for all policy questions. Administrative data can be large but may encode measurement bias. Qualitative and community evidence can identify mechanisms, harms and context that aggregate metrics miss. Official sources are authoritative for many legal and administrative facts, but not automatically the best source for evaluating the success of the institution publishing them. Record method fit, not just source prestige.</w:t>
      </w:r>
    </w:p>
    <w:p>
      <w:pPr>
        <w:pStyle w:val="Heading2"/>
      </w:pPr>
      <w:r>
        <w:t>5.3 Minimum citation discipline</w:t>
      </w:r>
    </w:p>
    <w:p>
      <w:pPr>
        <w:pStyle w:val="ListBullet"/>
        <w:spacing w:after="40"/>
      </w:pPr>
      <w:r>
        <w:t>Every material factual claim in a public brief has a citation immediately adjacent to it.</w:t>
      </w:r>
    </w:p>
    <w:p>
      <w:pPr>
        <w:pStyle w:val="ListBullet"/>
        <w:spacing w:after="40"/>
      </w:pPr>
      <w:r>
        <w:t>Citations resolve to the underlying document, not only to a search result or AI-generated summary.</w:t>
      </w:r>
    </w:p>
    <w:p>
      <w:pPr>
        <w:pStyle w:val="ListBullet"/>
        <w:spacing w:after="40"/>
      </w:pPr>
      <w:r>
        <w:t>Record the date checked and relevant page, table, section or dataset fields.</w:t>
      </w:r>
    </w:p>
    <w:p>
      <w:pPr>
        <w:pStyle w:val="ListBullet"/>
        <w:spacing w:after="40"/>
      </w:pPr>
      <w:r>
        <w:t>Distinguish source wording from project interpretation.</w:t>
      </w:r>
    </w:p>
    <w:p>
      <w:pPr>
        <w:pStyle w:val="ListBullet"/>
        <w:spacing w:after="40"/>
      </w:pPr>
      <w:r>
        <w:t>Where feasible, archive a lawful copy or record a checksum and metadata so later reviewers can identify the version used.</w:t>
      </w:r>
    </w:p>
    <w:p>
      <w:pPr>
        <w:pStyle w:val="ListBullet"/>
        <w:spacing w:after="40"/>
      </w:pPr>
      <w:r>
        <w:t>Use at least one credible counter-source or competing explanation for consequential contested claims.</w:t>
      </w:r>
    </w:p>
    <w:p>
      <w:pPr>
        <w:pStyle w:val="ListBullet"/>
        <w:spacing w:after="40"/>
      </w:pPr>
      <w:r>
        <w:t>Never cite an AI response as independent evidence for the factual claims that response itself generated.</w:t>
      </w:r>
    </w:p>
    <w:p>
      <w:pPr>
        <w:pStyle w:val="Heading1"/>
      </w:pPr>
      <w:r>
        <w:t>6. Evaluation and red-team testing plan</w:t>
      </w:r>
    </w:p>
    <w:p>
      <w:pPr>
        <w:pStyle w:val="Heading2"/>
      </w:pPr>
      <w:r>
        <w:t>6.1 Evaluation design</w:t>
      </w:r>
    </w:p>
    <w:p>
      <w:r>
        <w:t>The evaluation should compare CASCADE+AURA-assisted analysis against a competent conventional workflow using the same source pack, question, time budget and output requirements. Use multiple reviewers, blind them to the method where possible, and pre-register primary outcomes. Avoid testing only on examples selected because the new system is likely to succeed.</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40"/>
            </w:pPr>
            <w:r/>
            <w:r>
              <w:rPr>
                <w:rFonts w:ascii="Aptos" w:hAnsi="Aptos"/>
                <w:b/>
                <w:sz w:val="17"/>
              </w:rPr>
              <w:t>Test</w:t>
            </w:r>
          </w:p>
        </w:tc>
        <w:tc>
          <w:tcPr>
            <w:tcW w:type="dxa" w:w="2484"/>
            <w:vAlign w:val="center"/>
            <w:shd w:fill="D9EAF7"/>
          </w:tcPr>
          <w:p>
            <w:pPr>
              <w:spacing w:after="40"/>
            </w:pPr>
            <w:r/>
            <w:r>
              <w:rPr>
                <w:rFonts w:ascii="Aptos" w:hAnsi="Aptos"/>
                <w:b/>
                <w:sz w:val="17"/>
              </w:rPr>
              <w:t>Method</w:t>
            </w:r>
          </w:p>
        </w:tc>
        <w:tc>
          <w:tcPr>
            <w:tcW w:type="dxa" w:w="2484"/>
            <w:vAlign w:val="center"/>
            <w:shd w:fill="D9EAF7"/>
          </w:tcPr>
          <w:p>
            <w:pPr>
              <w:spacing w:after="40"/>
            </w:pPr>
            <w:r/>
            <w:r>
              <w:rPr>
                <w:rFonts w:ascii="Aptos" w:hAnsi="Aptos"/>
                <w:b/>
                <w:sz w:val="17"/>
              </w:rPr>
              <w:t>Primary measures</w:t>
            </w:r>
          </w:p>
        </w:tc>
        <w:tc>
          <w:tcPr>
            <w:tcW w:type="dxa" w:w="2484"/>
            <w:vAlign w:val="center"/>
            <w:shd w:fill="D9EAF7"/>
          </w:tcPr>
          <w:p>
            <w:pPr>
              <w:spacing w:after="40"/>
            </w:pPr>
            <w:r/>
            <w:r>
              <w:rPr>
                <w:rFonts w:ascii="Aptos" w:hAnsi="Aptos"/>
                <w:b/>
                <w:sz w:val="17"/>
              </w:rPr>
              <w:t>Failure condition</w:t>
            </w:r>
          </w:p>
        </w:tc>
      </w:tr>
      <w:tr>
        <w:tc>
          <w:tcPr>
            <w:tcW w:type="dxa" w:w="2484"/>
            <w:vAlign w:val="center"/>
          </w:tcPr>
          <w:p>
            <w:pPr>
              <w:spacing w:after="40"/>
            </w:pPr>
            <w:r/>
            <w:r>
              <w:rPr>
                <w:rFonts w:ascii="Aptos" w:hAnsi="Aptos"/>
                <w:b w:val="0"/>
                <w:sz w:val="16"/>
              </w:rPr>
              <w:t>T1 Provenance fidelity</w:t>
            </w:r>
          </w:p>
        </w:tc>
        <w:tc>
          <w:tcPr>
            <w:tcW w:type="dxa" w:w="2484"/>
            <w:vAlign w:val="center"/>
          </w:tcPr>
          <w:p>
            <w:pPr>
              <w:spacing w:after="40"/>
            </w:pPr>
            <w:r/>
            <w:r>
              <w:rPr>
                <w:rFonts w:ascii="Aptos" w:hAnsi="Aptos"/>
                <w:b w:val="0"/>
                <w:sz w:val="16"/>
              </w:rPr>
              <w:t>Give reviewers a source pack and ask them to reproduce claims and citations.</w:t>
            </w:r>
          </w:p>
        </w:tc>
        <w:tc>
          <w:tcPr>
            <w:tcW w:type="dxa" w:w="2484"/>
            <w:vAlign w:val="center"/>
          </w:tcPr>
          <w:p>
            <w:pPr>
              <w:spacing w:after="40"/>
            </w:pPr>
            <w:r/>
            <w:r>
              <w:rPr>
                <w:rFonts w:ascii="Aptos" w:hAnsi="Aptos"/>
                <w:b w:val="0"/>
                <w:sz w:val="16"/>
              </w:rPr>
              <w:t>Claim-to-source accuracy; missing/incorrect citations; unsupported claim rate.</w:t>
            </w:r>
          </w:p>
        </w:tc>
        <w:tc>
          <w:tcPr>
            <w:tcW w:type="dxa" w:w="2484"/>
            <w:vAlign w:val="center"/>
          </w:tcPr>
          <w:p>
            <w:pPr>
              <w:spacing w:after="40"/>
            </w:pPr>
            <w:r/>
            <w:r>
              <w:rPr>
                <w:rFonts w:ascii="Aptos" w:hAnsi="Aptos"/>
                <w:b w:val="0"/>
                <w:sz w:val="16"/>
              </w:rPr>
              <w:t>System produces material factual claims without traceable source support.</w:t>
            </w:r>
          </w:p>
        </w:tc>
      </w:tr>
      <w:tr>
        <w:tc>
          <w:tcPr>
            <w:tcW w:type="dxa" w:w="2484"/>
            <w:vAlign w:val="center"/>
          </w:tcPr>
          <w:p>
            <w:pPr>
              <w:spacing w:after="40"/>
            </w:pPr>
            <w:r/>
            <w:r>
              <w:rPr>
                <w:rFonts w:ascii="Aptos" w:hAnsi="Aptos"/>
                <w:b w:val="0"/>
                <w:sz w:val="16"/>
              </w:rPr>
              <w:t>T2 Dependency impact</w:t>
            </w:r>
          </w:p>
        </w:tc>
        <w:tc>
          <w:tcPr>
            <w:tcW w:type="dxa" w:w="2484"/>
            <w:vAlign w:val="center"/>
          </w:tcPr>
          <w:p>
            <w:pPr>
              <w:spacing w:after="40"/>
            </w:pPr>
            <w:r/>
            <w:r>
              <w:rPr>
                <w:rFonts w:ascii="Aptos" w:hAnsi="Aptos"/>
                <w:b w:val="0"/>
                <w:sz w:val="16"/>
              </w:rPr>
              <w:t>Inject a source retraction or changed assumption into a benchmark graph and a conventional brief.</w:t>
            </w:r>
          </w:p>
        </w:tc>
        <w:tc>
          <w:tcPr>
            <w:tcW w:type="dxa" w:w="2484"/>
            <w:vAlign w:val="center"/>
          </w:tcPr>
          <w:p>
            <w:pPr>
              <w:spacing w:after="40"/>
            </w:pPr>
            <w:r/>
            <w:r>
              <w:rPr>
                <w:rFonts w:ascii="Aptos" w:hAnsi="Aptos"/>
                <w:b w:val="0"/>
                <w:sz w:val="16"/>
              </w:rPr>
              <w:t>Recall/precision of affected downstream claims; time to identify changes.</w:t>
            </w:r>
          </w:p>
        </w:tc>
        <w:tc>
          <w:tcPr>
            <w:tcW w:type="dxa" w:w="2484"/>
            <w:vAlign w:val="center"/>
          </w:tcPr>
          <w:p>
            <w:pPr>
              <w:spacing w:after="40"/>
            </w:pPr>
            <w:r/>
            <w:r>
              <w:rPr>
                <w:rFonts w:ascii="Aptos" w:hAnsi="Aptos"/>
                <w:b w:val="0"/>
                <w:sz w:val="16"/>
              </w:rPr>
              <w:t>Critical downstream conclusion remains unflagged or cascade over-propagates broadly.</w:t>
            </w:r>
          </w:p>
        </w:tc>
      </w:tr>
      <w:tr>
        <w:tc>
          <w:tcPr>
            <w:tcW w:type="dxa" w:w="2484"/>
            <w:vAlign w:val="center"/>
          </w:tcPr>
          <w:p>
            <w:pPr>
              <w:spacing w:after="40"/>
            </w:pPr>
            <w:r/>
            <w:r>
              <w:rPr>
                <w:rFonts w:ascii="Aptos" w:hAnsi="Aptos"/>
                <w:b w:val="0"/>
                <w:sz w:val="16"/>
              </w:rPr>
              <w:t>T3 False cascade</w:t>
            </w:r>
          </w:p>
        </w:tc>
        <w:tc>
          <w:tcPr>
            <w:tcW w:type="dxa" w:w="2484"/>
            <w:vAlign w:val="center"/>
          </w:tcPr>
          <w:p>
            <w:pPr>
              <w:spacing w:after="40"/>
            </w:pPr>
            <w:r/>
            <w:r>
              <w:rPr>
                <w:rFonts w:ascii="Aptos" w:hAnsi="Aptos"/>
                <w:b w:val="0"/>
                <w:sz w:val="16"/>
              </w:rPr>
              <w:t>Introduce irrelevant, weak or conflicting new evidence.</w:t>
            </w:r>
          </w:p>
        </w:tc>
        <w:tc>
          <w:tcPr>
            <w:tcW w:type="dxa" w:w="2484"/>
            <w:vAlign w:val="center"/>
          </w:tcPr>
          <w:p>
            <w:pPr>
              <w:spacing w:after="40"/>
            </w:pPr>
            <w:r/>
            <w:r>
              <w:rPr>
                <w:rFonts w:ascii="Aptos" w:hAnsi="Aptos"/>
                <w:b w:val="0"/>
                <w:sz w:val="16"/>
              </w:rPr>
              <w:t>False-positive cascade rate; reversibility; review burden.</w:t>
            </w:r>
          </w:p>
        </w:tc>
        <w:tc>
          <w:tcPr>
            <w:tcW w:type="dxa" w:w="2484"/>
            <w:vAlign w:val="center"/>
          </w:tcPr>
          <w:p>
            <w:pPr>
              <w:spacing w:after="40"/>
            </w:pPr>
            <w:r/>
            <w:r>
              <w:rPr>
                <w:rFonts w:ascii="Aptos" w:hAnsi="Aptos"/>
                <w:b w:val="0"/>
                <w:sz w:val="16"/>
              </w:rPr>
              <w:t>Weak evidence automatically demotes robust claims or promotes a preferred claim.</w:t>
            </w:r>
          </w:p>
        </w:tc>
      </w:tr>
      <w:tr>
        <w:tc>
          <w:tcPr>
            <w:tcW w:type="dxa" w:w="2484"/>
            <w:vAlign w:val="center"/>
          </w:tcPr>
          <w:p>
            <w:pPr>
              <w:spacing w:after="40"/>
            </w:pPr>
            <w:r/>
            <w:r>
              <w:rPr>
                <w:rFonts w:ascii="Aptos" w:hAnsi="Aptos"/>
                <w:b w:val="0"/>
                <w:sz w:val="16"/>
              </w:rPr>
              <w:t>T4 Evidence calibration</w:t>
            </w:r>
          </w:p>
        </w:tc>
        <w:tc>
          <w:tcPr>
            <w:tcW w:type="dxa" w:w="2484"/>
            <w:vAlign w:val="center"/>
          </w:tcPr>
          <w:p>
            <w:pPr>
              <w:spacing w:after="40"/>
            </w:pPr>
            <w:r/>
            <w:r>
              <w:rPr>
                <w:rFonts w:ascii="Aptos" w:hAnsi="Aptos"/>
                <w:b w:val="0"/>
                <w:sz w:val="16"/>
              </w:rPr>
              <w:t>Compare stated confidence/status with blinded expert assessments and later-known outcomes where possible.</w:t>
            </w:r>
          </w:p>
        </w:tc>
        <w:tc>
          <w:tcPr>
            <w:tcW w:type="dxa" w:w="2484"/>
            <w:vAlign w:val="center"/>
          </w:tcPr>
          <w:p>
            <w:pPr>
              <w:spacing w:after="40"/>
            </w:pPr>
            <w:r/>
            <w:r>
              <w:rPr>
                <w:rFonts w:ascii="Aptos" w:hAnsi="Aptos"/>
                <w:b w:val="0"/>
                <w:sz w:val="16"/>
              </w:rPr>
              <w:t>Calibration error; Brier score only if probability forecasts are genuinely defined; uncertainty quality.</w:t>
            </w:r>
          </w:p>
        </w:tc>
        <w:tc>
          <w:tcPr>
            <w:tcW w:type="dxa" w:w="2484"/>
            <w:vAlign w:val="center"/>
          </w:tcPr>
          <w:p>
            <w:pPr>
              <w:spacing w:after="40"/>
            </w:pPr>
            <w:r/>
            <w:r>
              <w:rPr>
                <w:rFonts w:ascii="Aptos" w:hAnsi="Aptos"/>
                <w:b w:val="0"/>
                <w:sz w:val="16"/>
              </w:rPr>
              <w:t>Confidence is systematically overstated or unsupported numerical certainty is emitted.</w:t>
            </w:r>
          </w:p>
        </w:tc>
      </w:tr>
      <w:tr>
        <w:tc>
          <w:tcPr>
            <w:tcW w:type="dxa" w:w="2484"/>
            <w:vAlign w:val="center"/>
          </w:tcPr>
          <w:p>
            <w:pPr>
              <w:spacing w:after="40"/>
            </w:pPr>
            <w:r/>
            <w:r>
              <w:rPr>
                <w:rFonts w:ascii="Aptos" w:hAnsi="Aptos"/>
                <w:b w:val="0"/>
                <w:sz w:val="16"/>
              </w:rPr>
              <w:t>T5 Political symmetry</w:t>
            </w:r>
          </w:p>
        </w:tc>
        <w:tc>
          <w:tcPr>
            <w:tcW w:type="dxa" w:w="2484"/>
            <w:vAlign w:val="center"/>
          </w:tcPr>
          <w:p>
            <w:pPr>
              <w:spacing w:after="40"/>
            </w:pPr>
            <w:r/>
            <w:r>
              <w:rPr>
                <w:rFonts w:ascii="Aptos" w:hAnsi="Aptos"/>
                <w:b w:val="0"/>
                <w:sz w:val="16"/>
              </w:rPr>
              <w:t>Build matched policy claims from different ideological directions and parties.</w:t>
            </w:r>
          </w:p>
        </w:tc>
        <w:tc>
          <w:tcPr>
            <w:tcW w:type="dxa" w:w="2484"/>
            <w:vAlign w:val="center"/>
          </w:tcPr>
          <w:p>
            <w:pPr>
              <w:spacing w:after="40"/>
            </w:pPr>
            <w:r/>
            <w:r>
              <w:rPr>
                <w:rFonts w:ascii="Aptos" w:hAnsi="Aptos"/>
                <w:b w:val="0"/>
                <w:sz w:val="16"/>
              </w:rPr>
              <w:t>Differences in citation quality, skepticism, omission rates and reviewer ratings.</w:t>
            </w:r>
          </w:p>
        </w:tc>
        <w:tc>
          <w:tcPr>
            <w:tcW w:type="dxa" w:w="2484"/>
            <w:vAlign w:val="center"/>
          </w:tcPr>
          <w:p>
            <w:pPr>
              <w:spacing w:after="40"/>
            </w:pPr>
            <w:r/>
            <w:r>
              <w:rPr>
                <w:rFonts w:ascii="Aptos" w:hAnsi="Aptos"/>
                <w:b w:val="0"/>
                <w:sz w:val="16"/>
              </w:rPr>
              <w:t>Systematic asymmetry remains unexplained after blinded review.</w:t>
            </w:r>
          </w:p>
        </w:tc>
      </w:tr>
      <w:tr>
        <w:tc>
          <w:tcPr>
            <w:tcW w:type="dxa" w:w="2484"/>
            <w:vAlign w:val="center"/>
          </w:tcPr>
          <w:p>
            <w:pPr>
              <w:spacing w:after="40"/>
            </w:pPr>
            <w:r/>
            <w:r>
              <w:rPr>
                <w:rFonts w:ascii="Aptos" w:hAnsi="Aptos"/>
                <w:b w:val="0"/>
                <w:sz w:val="16"/>
              </w:rPr>
              <w:t>T6 Value pluralism</w:t>
            </w:r>
          </w:p>
        </w:tc>
        <w:tc>
          <w:tcPr>
            <w:tcW w:type="dxa" w:w="2484"/>
            <w:vAlign w:val="center"/>
          </w:tcPr>
          <w:p>
            <w:pPr>
              <w:spacing w:after="40"/>
            </w:pPr>
            <w:r/>
            <w:r>
              <w:rPr>
                <w:rFonts w:ascii="Aptos" w:hAnsi="Aptos"/>
                <w:b w:val="0"/>
                <w:sz w:val="16"/>
              </w:rPr>
              <w:t>Use cases where dignity, liberty, equality, fiscal sustainability, environmental protection and collective choice conflict.</w:t>
            </w:r>
          </w:p>
        </w:tc>
        <w:tc>
          <w:tcPr>
            <w:tcW w:type="dxa" w:w="2484"/>
            <w:vAlign w:val="center"/>
          </w:tcPr>
          <w:p>
            <w:pPr>
              <w:spacing w:after="40"/>
            </w:pPr>
            <w:r/>
            <w:r>
              <w:rPr>
                <w:rFonts w:ascii="Aptos" w:hAnsi="Aptos"/>
                <w:b w:val="0"/>
                <w:sz w:val="16"/>
              </w:rPr>
              <w:t>Visibility of trade-offs; coverage of affected groups; reviewer agreement on completeness.</w:t>
            </w:r>
          </w:p>
        </w:tc>
        <w:tc>
          <w:tcPr>
            <w:tcW w:type="dxa" w:w="2484"/>
            <w:vAlign w:val="center"/>
          </w:tcPr>
          <w:p>
            <w:pPr>
              <w:spacing w:after="40"/>
            </w:pPr>
            <w:r/>
            <w:r>
              <w:rPr>
                <w:rFonts w:ascii="Aptos" w:hAnsi="Aptos"/>
                <w:b w:val="0"/>
                <w:sz w:val="16"/>
              </w:rPr>
              <w:t>One value silently dominates or a composite score hides a rights or distribution issue.</w:t>
            </w:r>
          </w:p>
        </w:tc>
      </w:tr>
      <w:tr>
        <w:tc>
          <w:tcPr>
            <w:tcW w:type="dxa" w:w="2484"/>
            <w:vAlign w:val="center"/>
          </w:tcPr>
          <w:p>
            <w:pPr>
              <w:spacing w:after="40"/>
            </w:pPr>
            <w:r/>
            <w:r>
              <w:rPr>
                <w:rFonts w:ascii="Aptos" w:hAnsi="Aptos"/>
                <w:b w:val="0"/>
                <w:sz w:val="16"/>
              </w:rPr>
              <w:t>T7 Constructive alternatives</w:t>
            </w:r>
          </w:p>
        </w:tc>
        <w:tc>
          <w:tcPr>
            <w:tcW w:type="dxa" w:w="2484"/>
            <w:vAlign w:val="center"/>
          </w:tcPr>
          <w:p>
            <w:pPr>
              <w:spacing w:after="40"/>
            </w:pPr>
            <w:r/>
            <w:r>
              <w:rPr>
                <w:rFonts w:ascii="Aptos" w:hAnsi="Aptos"/>
                <w:b w:val="0"/>
                <w:sz w:val="16"/>
              </w:rPr>
              <w:t>Give a problematic proposal and its stated goal; generate alternatives.</w:t>
            </w:r>
          </w:p>
        </w:tc>
        <w:tc>
          <w:tcPr>
            <w:tcW w:type="dxa" w:w="2484"/>
            <w:vAlign w:val="center"/>
          </w:tcPr>
          <w:p>
            <w:pPr>
              <w:spacing w:after="40"/>
            </w:pPr>
            <w:r/>
            <w:r>
              <w:rPr>
                <w:rFonts w:ascii="Aptos" w:hAnsi="Aptos"/>
                <w:b w:val="0"/>
                <w:sz w:val="16"/>
              </w:rPr>
              <w:t>Feasibility, goal preservation, cost completeness, blind expert review.</w:t>
            </w:r>
          </w:p>
        </w:tc>
        <w:tc>
          <w:tcPr>
            <w:tcW w:type="dxa" w:w="2484"/>
            <w:vAlign w:val="center"/>
          </w:tcPr>
          <w:p>
            <w:pPr>
              <w:spacing w:after="40"/>
            </w:pPr>
            <w:r/>
            <w:r>
              <w:rPr>
                <w:rFonts w:ascii="Aptos" w:hAnsi="Aptos"/>
                <w:b w:val="0"/>
                <w:sz w:val="16"/>
              </w:rPr>
              <w:t>Alternative merely restates the original, evades constraints, or is called “superior” without a rubric.</w:t>
            </w:r>
          </w:p>
        </w:tc>
      </w:tr>
      <w:tr>
        <w:tc>
          <w:tcPr>
            <w:tcW w:type="dxa" w:w="2484"/>
            <w:vAlign w:val="center"/>
          </w:tcPr>
          <w:p>
            <w:pPr>
              <w:spacing w:after="40"/>
            </w:pPr>
            <w:r/>
            <w:r>
              <w:rPr>
                <w:rFonts w:ascii="Aptos" w:hAnsi="Aptos"/>
                <w:b w:val="0"/>
                <w:sz w:val="16"/>
              </w:rPr>
              <w:t>T8 Māori and community context</w:t>
            </w:r>
          </w:p>
        </w:tc>
        <w:tc>
          <w:tcPr>
            <w:tcW w:type="dxa" w:w="2484"/>
            <w:vAlign w:val="center"/>
          </w:tcPr>
          <w:p>
            <w:pPr>
              <w:spacing w:after="40"/>
            </w:pPr>
            <w:r/>
            <w:r>
              <w:rPr>
                <w:rFonts w:ascii="Aptos" w:hAnsi="Aptos"/>
                <w:b w:val="0"/>
                <w:sz w:val="16"/>
              </w:rPr>
              <w:t>Have appropriately engaged reviewers examine cases with Te Tiriti, Māori data, tikanga or local knowledge implications.</w:t>
            </w:r>
          </w:p>
        </w:tc>
        <w:tc>
          <w:tcPr>
            <w:tcW w:type="dxa" w:w="2484"/>
            <w:vAlign w:val="center"/>
          </w:tcPr>
          <w:p>
            <w:pPr>
              <w:spacing w:after="40"/>
            </w:pPr>
            <w:r/>
            <w:r>
              <w:rPr>
                <w:rFonts w:ascii="Aptos" w:hAnsi="Aptos"/>
                <w:b w:val="0"/>
                <w:sz w:val="16"/>
              </w:rPr>
              <w:t>Issues identified; respectful representation; correction acceptance; gaps disclosed.</w:t>
            </w:r>
          </w:p>
        </w:tc>
        <w:tc>
          <w:tcPr>
            <w:tcW w:type="dxa" w:w="2484"/>
            <w:vAlign w:val="center"/>
          </w:tcPr>
          <w:p>
            <w:pPr>
              <w:spacing w:after="40"/>
            </w:pPr>
            <w:r/>
            <w:r>
              <w:rPr>
                <w:rFonts w:ascii="Aptos" w:hAnsi="Aptos"/>
                <w:b w:val="0"/>
                <w:sz w:val="16"/>
              </w:rPr>
              <w:t>Relevant rights, authority, knowledge sovereignty or affected voices are ignored.</w:t>
            </w:r>
          </w:p>
        </w:tc>
      </w:tr>
      <w:tr>
        <w:tc>
          <w:tcPr>
            <w:tcW w:type="dxa" w:w="2484"/>
            <w:vAlign w:val="center"/>
          </w:tcPr>
          <w:p>
            <w:pPr>
              <w:spacing w:after="40"/>
            </w:pPr>
            <w:r/>
            <w:r>
              <w:rPr>
                <w:rFonts w:ascii="Aptos" w:hAnsi="Aptos"/>
                <w:b w:val="0"/>
                <w:sz w:val="16"/>
              </w:rPr>
              <w:t>T9 Robustness and prompt injection</w:t>
            </w:r>
          </w:p>
        </w:tc>
        <w:tc>
          <w:tcPr>
            <w:tcW w:type="dxa" w:w="2484"/>
            <w:vAlign w:val="center"/>
          </w:tcPr>
          <w:p>
            <w:pPr>
              <w:spacing w:after="40"/>
            </w:pPr>
            <w:r/>
            <w:r>
              <w:rPr>
                <w:rFonts w:ascii="Aptos" w:hAnsi="Aptos"/>
                <w:b w:val="0"/>
                <w:sz w:val="16"/>
              </w:rPr>
              <w:t>Place misleading instructions or persuasive text inside source material.</w:t>
            </w:r>
          </w:p>
        </w:tc>
        <w:tc>
          <w:tcPr>
            <w:tcW w:type="dxa" w:w="2484"/>
            <w:vAlign w:val="center"/>
          </w:tcPr>
          <w:p>
            <w:pPr>
              <w:spacing w:after="40"/>
            </w:pPr>
            <w:r/>
            <w:r>
              <w:rPr>
                <w:rFonts w:ascii="Aptos" w:hAnsi="Aptos"/>
                <w:b w:val="0"/>
                <w:sz w:val="16"/>
              </w:rPr>
              <w:t>Instruction/source separation; source integrity; reviewer-visible flags.</w:t>
            </w:r>
          </w:p>
        </w:tc>
        <w:tc>
          <w:tcPr>
            <w:tcW w:type="dxa" w:w="2484"/>
            <w:vAlign w:val="center"/>
          </w:tcPr>
          <w:p>
            <w:pPr>
              <w:spacing w:after="40"/>
            </w:pPr>
            <w:r/>
            <w:r>
              <w:rPr>
                <w:rFonts w:ascii="Aptos" w:hAnsi="Aptos"/>
                <w:b w:val="0"/>
                <w:sz w:val="16"/>
              </w:rPr>
              <w:t>Untrusted source text changes project rules or causes unsupported claims.</w:t>
            </w:r>
          </w:p>
        </w:tc>
      </w:tr>
      <w:tr>
        <w:tc>
          <w:tcPr>
            <w:tcW w:type="dxa" w:w="2484"/>
            <w:vAlign w:val="center"/>
          </w:tcPr>
          <w:p>
            <w:pPr>
              <w:spacing w:after="40"/>
            </w:pPr>
            <w:r/>
            <w:r>
              <w:rPr>
                <w:rFonts w:ascii="Aptos" w:hAnsi="Aptos"/>
                <w:b w:val="0"/>
                <w:sz w:val="16"/>
              </w:rPr>
              <w:t>T10 Usability and workload</w:t>
            </w:r>
          </w:p>
        </w:tc>
        <w:tc>
          <w:tcPr>
            <w:tcW w:type="dxa" w:w="2484"/>
            <w:vAlign w:val="center"/>
          </w:tcPr>
          <w:p>
            <w:pPr>
              <w:spacing w:after="40"/>
            </w:pPr>
            <w:r/>
            <w:r>
              <w:rPr>
                <w:rFonts w:ascii="Aptos" w:hAnsi="Aptos"/>
                <w:b w:val="0"/>
                <w:sz w:val="16"/>
              </w:rPr>
              <w:t>Ask researchers with different levels of experience to complete matched tasks.</w:t>
            </w:r>
          </w:p>
        </w:tc>
        <w:tc>
          <w:tcPr>
            <w:tcW w:type="dxa" w:w="2484"/>
            <w:vAlign w:val="center"/>
          </w:tcPr>
          <w:p>
            <w:pPr>
              <w:spacing w:after="40"/>
            </w:pPr>
            <w:r/>
            <w:r>
              <w:rPr>
                <w:rFonts w:ascii="Aptos" w:hAnsi="Aptos"/>
                <w:b w:val="0"/>
                <w:sz w:val="16"/>
              </w:rPr>
              <w:t>Time, error rate, completion, comprehension and perceived burden.</w:t>
            </w:r>
          </w:p>
        </w:tc>
        <w:tc>
          <w:tcPr>
            <w:tcW w:type="dxa" w:w="2484"/>
            <w:vAlign w:val="center"/>
          </w:tcPr>
          <w:p>
            <w:pPr>
              <w:spacing w:after="40"/>
            </w:pPr>
            <w:r/>
            <w:r>
              <w:rPr>
                <w:rFonts w:ascii="Aptos" w:hAnsi="Aptos"/>
                <w:b w:val="0"/>
                <w:sz w:val="16"/>
              </w:rPr>
              <w:t>Any speed gain comes with materially worse error or comprehension.</w:t>
            </w:r>
          </w:p>
        </w:tc>
      </w:tr>
    </w:tbl>
    <w:p/>
    <w:p>
      <w:pPr>
        <w:pStyle w:val="Heading2"/>
      </w:pPr>
      <w:r>
        <w:t>6.2 Statistical and reporting rules</w:t>
      </w:r>
    </w:p>
    <w:p>
      <w:pPr>
        <w:pStyle w:val="ListBullet"/>
        <w:spacing w:after="40"/>
      </w:pPr>
      <w:r>
        <w:t>Define outcomes and decision thresholds before looking at confirmatory results.</w:t>
      </w:r>
    </w:p>
    <w:p>
      <w:pPr>
        <w:pStyle w:val="ListBullet"/>
        <w:spacing w:after="40"/>
      </w:pPr>
      <w:r>
        <w:t>Use a pilot to estimate variance and determine sample size; do not invent a sample size before the task and reviewer pool are specified.</w:t>
      </w:r>
    </w:p>
    <w:p>
      <w:pPr>
        <w:pStyle w:val="ListBullet"/>
        <w:spacing w:after="40"/>
      </w:pPr>
      <w:r>
        <w:t>Report confidence intervals or uncertainty ranges where appropriate, not just point estimates.</w:t>
      </w:r>
    </w:p>
    <w:p>
      <w:pPr>
        <w:pStyle w:val="ListBullet"/>
        <w:spacing w:after="40"/>
      </w:pPr>
      <w:r>
        <w:t>Report every planned primary outcome, including null or negative results.</w:t>
      </w:r>
    </w:p>
    <w:p>
      <w:pPr>
        <w:pStyle w:val="ListBullet"/>
        <w:spacing w:after="40"/>
      </w:pPr>
      <w:r>
        <w:t>Separate exploratory observations from confirmatory tests.</w:t>
      </w:r>
    </w:p>
    <w:p>
      <w:pPr>
        <w:pStyle w:val="ListBullet"/>
        <w:spacing w:after="40"/>
      </w:pPr>
      <w:r>
        <w:t>Publish the benchmark data or a reproducible subset where lawful and safe; document exclusions.</w:t>
      </w:r>
    </w:p>
    <w:p>
      <w:pPr>
        <w:pStyle w:val="ListBullet"/>
        <w:spacing w:after="40"/>
      </w:pPr>
      <w:r>
        <w:t>Compare against a baseline that is genuinely competent, not a deliberately weak straw man.</w:t>
      </w:r>
    </w:p>
    <w:p>
      <w:pPr>
        <w:pStyle w:val="ListBullet"/>
        <w:spacing w:after="40"/>
      </w:pPr>
      <w:r>
        <w:t>Do not claim “better politics” from improved document consistency alone. Demonstrate a chain from technical performance to user outcomes, then policy outcomes, with caveats.</w:t>
      </w:r>
    </w:p>
    <w:p>
      <w:pPr>
        <w:pStyle w:val="Heading1"/>
      </w:pPr>
      <w:r>
        <w:t>7. New Zealand research environment</w:t>
      </w:r>
    </w:p>
    <w:p>
      <w:r>
        <w:t>The project enters an ecosystem with existing democratic and analytical infrastructure. It should identify the gap it fills rather than imply that no one has worked on evidence-informed policy or accountability.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Aptos" w:hAnsi="Aptos"/>
                <w:b/>
                <w:sz w:val="17"/>
              </w:rPr>
              <w:t>Existing institution / resource</w:t>
            </w:r>
          </w:p>
        </w:tc>
        <w:tc>
          <w:tcPr>
            <w:tcW w:type="dxa" w:w="3312"/>
            <w:vAlign w:val="center"/>
            <w:shd w:fill="D9EAF7"/>
          </w:tcPr>
          <w:p>
            <w:pPr>
              <w:spacing w:after="40"/>
            </w:pPr>
            <w:r/>
            <w:r>
              <w:rPr>
                <w:rFonts w:ascii="Aptos" w:hAnsi="Aptos"/>
                <w:b/>
                <w:sz w:val="17"/>
              </w:rPr>
              <w:t>Relevance to Anon Politician</w:t>
            </w:r>
          </w:p>
        </w:tc>
        <w:tc>
          <w:tcPr>
            <w:tcW w:type="dxa" w:w="3312"/>
            <w:vAlign w:val="center"/>
            <w:shd w:fill="D9EAF7"/>
          </w:tcPr>
          <w:p>
            <w:pPr>
              <w:spacing w:after="40"/>
            </w:pPr>
            <w:r/>
            <w:r>
              <w:rPr>
                <w:rFonts w:ascii="Aptos" w:hAnsi="Aptos"/>
                <w:b/>
                <w:sz w:val="17"/>
              </w:rPr>
              <w:t>Limit to observe</w:t>
            </w:r>
          </w:p>
        </w:tc>
      </w:tr>
      <w:tr>
        <w:tc>
          <w:tcPr>
            <w:tcW w:type="dxa" w:w="3312"/>
            <w:vAlign w:val="center"/>
          </w:tcPr>
          <w:p>
            <w:pPr>
              <w:spacing w:after="40"/>
            </w:pPr>
            <w:r/>
            <w:r>
              <w:rPr>
                <w:rFonts w:ascii="Aptos" w:hAnsi="Aptos"/>
                <w:b w:val="0"/>
                <w:sz w:val="16"/>
              </w:rPr>
              <w:t>New Zealand Parliament / select committees</w:t>
            </w:r>
          </w:p>
        </w:tc>
        <w:tc>
          <w:tcPr>
            <w:tcW w:type="dxa" w:w="3312"/>
            <w:vAlign w:val="center"/>
          </w:tcPr>
          <w:p>
            <w:pPr>
              <w:spacing w:after="40"/>
            </w:pPr>
            <w:r/>
            <w:r>
              <w:rPr>
                <w:rFonts w:ascii="Aptos" w:hAnsi="Aptos"/>
                <w:b w:val="0"/>
                <w:sz w:val="16"/>
              </w:rPr>
              <w:t>Public submissions, hearings, advice and reports provide a traceable record of policy scrutiny. [1]</w:t>
            </w:r>
          </w:p>
        </w:tc>
        <w:tc>
          <w:tcPr>
            <w:tcW w:type="dxa" w:w="3312"/>
            <w:vAlign w:val="center"/>
          </w:tcPr>
          <w:p>
            <w:pPr>
              <w:spacing w:after="40"/>
            </w:pPr>
            <w:r/>
            <w:r>
              <w:rPr>
                <w:rFonts w:ascii="Aptos" w:hAnsi="Aptos"/>
                <w:b w:val="0"/>
                <w:sz w:val="16"/>
              </w:rPr>
              <w:t>Participation and records do not by themselves guarantee representativeness or impact.</w:t>
            </w:r>
          </w:p>
        </w:tc>
      </w:tr>
      <w:tr>
        <w:tc>
          <w:tcPr>
            <w:tcW w:type="dxa" w:w="3312"/>
            <w:vAlign w:val="center"/>
          </w:tcPr>
          <w:p>
            <w:pPr>
              <w:spacing w:after="40"/>
            </w:pPr>
            <w:r/>
            <w:r>
              <w:rPr>
                <w:rFonts w:ascii="Aptos" w:hAnsi="Aptos"/>
                <w:b w:val="0"/>
                <w:sz w:val="16"/>
              </w:rPr>
              <w:t>The Treasury — CBAx</w:t>
            </w:r>
          </w:p>
        </w:tc>
        <w:tc>
          <w:tcPr>
            <w:tcW w:type="dxa" w:w="3312"/>
            <w:vAlign w:val="center"/>
          </w:tcPr>
          <w:p>
            <w:pPr>
              <w:spacing w:after="40"/>
            </w:pPr>
            <w:r/>
            <w:r>
              <w:rPr>
                <w:rFonts w:ascii="Aptos" w:hAnsi="Aptos"/>
                <w:b w:val="0"/>
                <w:sz w:val="16"/>
              </w:rPr>
              <w:t>Local impact values and structured cost-benefit guidance can inform transparent option comparison. [2]</w:t>
            </w:r>
          </w:p>
        </w:tc>
        <w:tc>
          <w:tcPr>
            <w:tcW w:type="dxa" w:w="3312"/>
            <w:vAlign w:val="center"/>
          </w:tcPr>
          <w:p>
            <w:pPr>
              <w:spacing w:after="40"/>
            </w:pPr>
            <w:r/>
            <w:r>
              <w:rPr>
                <w:rFonts w:ascii="Aptos" w:hAnsi="Aptos"/>
                <w:b w:val="0"/>
                <w:sz w:val="16"/>
              </w:rPr>
              <w:t>Monetisation has limits; CBA results are not the only decision criterion.</w:t>
            </w:r>
          </w:p>
        </w:tc>
      </w:tr>
      <w:tr>
        <w:tc>
          <w:tcPr>
            <w:tcW w:type="dxa" w:w="3312"/>
            <w:vAlign w:val="center"/>
          </w:tcPr>
          <w:p>
            <w:pPr>
              <w:spacing w:after="40"/>
            </w:pPr>
            <w:r/>
            <w:r>
              <w:rPr>
                <w:rFonts w:ascii="Aptos" w:hAnsi="Aptos"/>
                <w:b w:val="0"/>
                <w:sz w:val="16"/>
              </w:rPr>
              <w:t>The Treasury — Living Standards Framework</w:t>
            </w:r>
          </w:p>
        </w:tc>
        <w:tc>
          <w:tcPr>
            <w:tcW w:type="dxa" w:w="3312"/>
            <w:vAlign w:val="center"/>
          </w:tcPr>
          <w:p>
            <w:pPr>
              <w:spacing w:after="40"/>
            </w:pPr>
            <w:r/>
            <w:r>
              <w:rPr>
                <w:rFonts w:ascii="Aptos" w:hAnsi="Aptos"/>
                <w:b w:val="0"/>
                <w:sz w:val="16"/>
              </w:rPr>
              <w:t>Prompts wellbeing, distributional, cultural and long-term analysis. [3]</w:t>
            </w:r>
          </w:p>
        </w:tc>
        <w:tc>
          <w:tcPr>
            <w:tcW w:type="dxa" w:w="3312"/>
            <w:vAlign w:val="center"/>
          </w:tcPr>
          <w:p>
            <w:pPr>
              <w:spacing w:after="40"/>
            </w:pPr>
            <w:r/>
            <w:r>
              <w:rPr>
                <w:rFonts w:ascii="Aptos" w:hAnsi="Aptos"/>
                <w:b w:val="0"/>
                <w:sz w:val="16"/>
              </w:rPr>
              <w:t>A framework guides questions; it does not resolve value conflicts or guarantee correct advice.</w:t>
            </w:r>
          </w:p>
        </w:tc>
      </w:tr>
      <w:tr>
        <w:tc>
          <w:tcPr>
            <w:tcW w:type="dxa" w:w="3312"/>
            <w:vAlign w:val="center"/>
          </w:tcPr>
          <w:p>
            <w:pPr>
              <w:spacing w:after="40"/>
            </w:pPr>
            <w:r/>
            <w:r>
              <w:rPr>
                <w:rFonts w:ascii="Aptos" w:hAnsi="Aptos"/>
                <w:b w:val="0"/>
                <w:sz w:val="16"/>
              </w:rPr>
              <w:t>Public Service Commission</w:t>
            </w:r>
          </w:p>
        </w:tc>
        <w:tc>
          <w:tcPr>
            <w:tcW w:type="dxa" w:w="3312"/>
            <w:vAlign w:val="center"/>
          </w:tcPr>
          <w:p>
            <w:pPr>
              <w:spacing w:after="40"/>
            </w:pPr>
            <w:r/>
            <w:r>
              <w:rPr>
                <w:rFonts w:ascii="Aptos" w:hAnsi="Aptos"/>
                <w:b w:val="0"/>
                <w:sz w:val="16"/>
              </w:rPr>
              <w:t>Integrity, impartiality, conflicts-of-interest and political-neutrality standards are relevant to the project's independence and contributor safety. [4]</w:t>
            </w:r>
          </w:p>
        </w:tc>
        <w:tc>
          <w:tcPr>
            <w:tcW w:type="dxa" w:w="3312"/>
            <w:vAlign w:val="center"/>
          </w:tcPr>
          <w:p>
            <w:pPr>
              <w:spacing w:after="40"/>
            </w:pPr>
            <w:r/>
            <w:r>
              <w:rPr>
                <w:rFonts w:ascii="Aptos" w:hAnsi="Aptos"/>
                <w:b w:val="0"/>
                <w:sz w:val="16"/>
              </w:rPr>
              <w:t>These standards do not replace individual legal/employment advice.</w:t>
            </w:r>
          </w:p>
        </w:tc>
      </w:tr>
      <w:tr>
        <w:tc>
          <w:tcPr>
            <w:tcW w:type="dxa" w:w="3312"/>
            <w:vAlign w:val="center"/>
          </w:tcPr>
          <w:p>
            <w:pPr>
              <w:spacing w:after="40"/>
            </w:pPr>
            <w:r/>
            <w:r>
              <w:rPr>
                <w:rFonts w:ascii="Aptos" w:hAnsi="Aptos"/>
                <w:b w:val="0"/>
                <w:sz w:val="16"/>
              </w:rPr>
              <w:t>Parliamentary Commissioner for the Environment</w:t>
            </w:r>
          </w:p>
        </w:tc>
        <w:tc>
          <w:tcPr>
            <w:tcW w:type="dxa" w:w="3312"/>
            <w:vAlign w:val="center"/>
          </w:tcPr>
          <w:p>
            <w:pPr>
              <w:spacing w:after="40"/>
            </w:pPr>
            <w:r/>
            <w:r>
              <w:rPr>
                <w:rFonts w:ascii="Aptos" w:hAnsi="Aptos"/>
                <w:b w:val="0"/>
                <w:sz w:val="16"/>
              </w:rPr>
              <w:t>An independent Officer of Parliament model for evidence-led scrutiny of environmental issues. [5]</w:t>
            </w:r>
          </w:p>
        </w:tc>
        <w:tc>
          <w:tcPr>
            <w:tcW w:type="dxa" w:w="3312"/>
            <w:vAlign w:val="center"/>
          </w:tcPr>
          <w:p>
            <w:pPr>
              <w:spacing w:after="40"/>
            </w:pPr>
            <w:r/>
            <w:r>
              <w:rPr>
                <w:rFonts w:ascii="Aptos" w:hAnsi="Aptos"/>
                <w:b w:val="0"/>
                <w:sz w:val="16"/>
              </w:rPr>
              <w:t>A civic research project is not an Officer of Parliament and has no comparable statutory powers.</w:t>
            </w:r>
          </w:p>
        </w:tc>
      </w:tr>
      <w:tr>
        <w:tc>
          <w:tcPr>
            <w:tcW w:type="dxa" w:w="3312"/>
            <w:vAlign w:val="center"/>
          </w:tcPr>
          <w:p>
            <w:pPr>
              <w:spacing w:after="40"/>
            </w:pPr>
            <w:r/>
            <w:r>
              <w:rPr>
                <w:rFonts w:ascii="Aptos" w:hAnsi="Aptos"/>
                <w:b w:val="0"/>
                <w:sz w:val="16"/>
              </w:rPr>
              <w:t>OECD evidence-informed policy work</w:t>
            </w:r>
          </w:p>
        </w:tc>
        <w:tc>
          <w:tcPr>
            <w:tcW w:type="dxa" w:w="3312"/>
            <w:vAlign w:val="center"/>
          </w:tcPr>
          <w:p>
            <w:pPr>
              <w:spacing w:after="40"/>
            </w:pPr>
            <w:r/>
            <w:r>
              <w:rPr>
                <w:rFonts w:ascii="Aptos" w:hAnsi="Aptos"/>
                <w:b w:val="0"/>
                <w:sz w:val="16"/>
              </w:rPr>
              <w:t>International synthesis on skills, institutional capacity, evidence governance and trust can inform design. [6, 7]</w:t>
            </w:r>
          </w:p>
        </w:tc>
        <w:tc>
          <w:tcPr>
            <w:tcW w:type="dxa" w:w="3312"/>
            <w:vAlign w:val="center"/>
          </w:tcPr>
          <w:p>
            <w:pPr>
              <w:spacing w:after="40"/>
            </w:pPr>
            <w:r/>
            <w:r>
              <w:rPr>
                <w:rFonts w:ascii="Aptos" w:hAnsi="Aptos"/>
                <w:b w:val="0"/>
                <w:sz w:val="16"/>
              </w:rPr>
              <w:t>International practices require contextual adaptation and critical appraisal.</w:t>
            </w:r>
          </w:p>
        </w:tc>
      </w:tr>
    </w:tbl>
    <w:p/>
    <w:p>
      <w:r>
        <w:t>Election context: the Electoral Commission states that New Zealand's 2026 general election is scheduled for Saturday 7 November, with advance voting starting 26 October and the enrolment deadline at midnight on 25 October. This creates a time-sensitive public-information environment. It should not pressure the project to publish rushed, partisan, or insufficiently checked conclusions. Any election-period material should be especially explicit about sources, update dates and the distinction between policy comparison and recommendation. [8]</w:t>
      </w:r>
    </w:p>
    <w:p>
      <w:pPr>
        <w:pStyle w:val="Heading1"/>
      </w:pPr>
      <w:r>
        <w:t>8. First major research track: candidate-neutral policy investigation</w:t>
      </w:r>
    </w:p>
    <w:p>
      <w:r>
        <w:t>The first investigation should be chosen through a published scoping protocol, not because it confirms the founder's preferred economic or political theory. Candidate topics may include a defined spending programme, an environmental accounting proposal, a regulatory change, a service-delivery outcome, or a specific legislative claim. No topic is selected by this dossier.</w:t>
      </w:r>
    </w:p>
    <w:p>
      <w:pPr>
        <w:pStyle w:val="Heading2"/>
      </w:pPr>
      <w:r>
        <w:t>8.1 Topic selection criteria</w:t>
      </w:r>
    </w:p>
    <w:p>
      <w:pPr>
        <w:pStyle w:val="ListBullet"/>
        <w:spacing w:after="40"/>
      </w:pPr>
      <w:r>
        <w:t>Public significance: a clear, documented question affecting a defined population.</w:t>
      </w:r>
    </w:p>
    <w:p>
      <w:pPr>
        <w:pStyle w:val="ListBullet"/>
        <w:spacing w:after="40"/>
      </w:pPr>
      <w:r>
        <w:t>Source availability: enough primary material and independent evidence to test claims.</w:t>
      </w:r>
    </w:p>
    <w:p>
      <w:pPr>
        <w:pStyle w:val="ListBullet"/>
        <w:spacing w:after="40"/>
      </w:pPr>
      <w:r>
        <w:t>Scope discipline: a question narrow enough to answer within a bounded period.</w:t>
      </w:r>
    </w:p>
    <w:p>
      <w:pPr>
        <w:pStyle w:val="ListBullet"/>
        <w:spacing w:after="40"/>
      </w:pPr>
      <w:r>
        <w:t>Plurality: credible competing explanations or policy options can be described.</w:t>
      </w:r>
    </w:p>
    <w:p>
      <w:pPr>
        <w:pStyle w:val="ListBullet"/>
        <w:spacing w:after="40"/>
      </w:pPr>
      <w:r>
        <w:t>Evaluation potential: measurable baseline and at least a plausible method for assessing outcomes.</w:t>
      </w:r>
    </w:p>
    <w:p>
      <w:pPr>
        <w:pStyle w:val="ListBullet"/>
        <w:spacing w:after="40"/>
      </w:pPr>
      <w:r>
        <w:t>Risk: manageable privacy, defamation, safety and contributor-exposure risks.</w:t>
      </w:r>
    </w:p>
    <w:p>
      <w:pPr>
        <w:pStyle w:val="ListBullet"/>
        <w:spacing w:after="40"/>
      </w:pPr>
      <w:r>
        <w:t>Public utility: likely to help readers understand a real decision without telling them which party to support.</w:t>
      </w:r>
    </w:p>
    <w:p>
      <w:pPr>
        <w:pStyle w:val="Heading2"/>
      </w:pPr>
      <w:r>
        <w:t>8.2 Required dossier structure for every future policy case</w:t>
      </w:r>
    </w:p>
    <w:p>
      <w:pPr>
        <w:pStyle w:val="ListNumber"/>
        <w:spacing w:after="40"/>
      </w:pPr>
      <w:r>
        <w:t>Question and scope; what is not being asked.</w:t>
      </w:r>
    </w:p>
    <w:p>
      <w:pPr>
        <w:pStyle w:val="ListNumber"/>
        <w:spacing w:after="40"/>
      </w:pPr>
      <w:r>
        <w:t>Timeline and institutional context.</w:t>
      </w:r>
    </w:p>
    <w:p>
      <w:pPr>
        <w:pStyle w:val="ListNumber"/>
        <w:spacing w:after="40"/>
      </w:pPr>
      <w:r>
        <w:t>Primary-source inventory and evidence map.</w:t>
      </w:r>
    </w:p>
    <w:p>
      <w:pPr>
        <w:pStyle w:val="ListNumber"/>
        <w:spacing w:after="40"/>
      </w:pPr>
      <w:r>
        <w:t>Claim ledger, including contested and unsupported claims.</w:t>
      </w:r>
    </w:p>
    <w:p>
      <w:pPr>
        <w:pStyle w:val="ListNumber"/>
        <w:spacing w:after="40"/>
      </w:pPr>
      <w:r>
        <w:t>Causal model and dependency graph.</w:t>
      </w:r>
    </w:p>
    <w:p>
      <w:pPr>
        <w:pStyle w:val="ListNumber"/>
        <w:spacing w:after="40"/>
      </w:pPr>
      <w:r>
        <w:t>Options matrix, including status quo and credible alternatives.</w:t>
      </w:r>
    </w:p>
    <w:p>
      <w:pPr>
        <w:pStyle w:val="ListNumber"/>
        <w:spacing w:after="40"/>
      </w:pPr>
      <w:r>
        <w:t>Fiscal, distributional, legal, cultural and ecological impacts.</w:t>
      </w:r>
    </w:p>
    <w:p>
      <w:pPr>
        <w:pStyle w:val="ListNumber"/>
        <w:spacing w:after="40"/>
      </w:pPr>
      <w:r>
        <w:t>AURA value/trade-off record with dissent.</w:t>
      </w:r>
    </w:p>
    <w:p>
      <w:pPr>
        <w:pStyle w:val="ListNumber"/>
        <w:spacing w:after="40"/>
      </w:pPr>
      <w:r>
        <w:t>CASCADE change-impact analysis.</w:t>
      </w:r>
    </w:p>
    <w:p>
      <w:pPr>
        <w:pStyle w:val="ListNumber"/>
        <w:spacing w:after="40"/>
      </w:pPr>
      <w:r>
        <w:t>Uncertainty and sensitivity analysis.</w:t>
      </w:r>
    </w:p>
    <w:p>
      <w:pPr>
        <w:pStyle w:val="ListNumber"/>
        <w:spacing w:after="40"/>
      </w:pPr>
      <w:r>
        <w:t>Red-team review and corrections.</w:t>
      </w:r>
    </w:p>
    <w:p>
      <w:pPr>
        <w:pStyle w:val="ListNumber"/>
        <w:spacing w:after="40"/>
      </w:pPr>
      <w:r>
        <w:t>Monitoring indicators, review date and conditions for revision.</w:t>
      </w:r>
    </w:p>
    <w:p>
      <w:pPr>
        <w:pStyle w:val="Heading1"/>
      </w:pPr>
      <w:r>
        <w:t>9. Risk register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Aptos" w:hAnsi="Aptos"/>
                <w:b/>
                <w:sz w:val="17"/>
              </w:rPr>
              <w:t>Risk</w:t>
            </w:r>
          </w:p>
        </w:tc>
        <w:tc>
          <w:tcPr>
            <w:tcW w:type="dxa" w:w="3312"/>
            <w:vAlign w:val="center"/>
            <w:shd w:fill="D9EAF7"/>
          </w:tcPr>
          <w:p>
            <w:pPr>
              <w:spacing w:after="40"/>
            </w:pPr>
            <w:r/>
            <w:r>
              <w:rPr>
                <w:rFonts w:ascii="Aptos" w:hAnsi="Aptos"/>
                <w:b/>
                <w:sz w:val="17"/>
              </w:rPr>
              <w:t>Why it matters</w:t>
            </w:r>
          </w:p>
        </w:tc>
        <w:tc>
          <w:tcPr>
            <w:tcW w:type="dxa" w:w="3312"/>
            <w:vAlign w:val="center"/>
            <w:shd w:fill="D9EAF7"/>
          </w:tcPr>
          <w:p>
            <w:pPr>
              <w:spacing w:after="40"/>
            </w:pPr>
            <w:r/>
            <w:r>
              <w:rPr>
                <w:rFonts w:ascii="Aptos" w:hAnsi="Aptos"/>
                <w:b/>
                <w:sz w:val="17"/>
              </w:rPr>
              <w:t>Mitigation / trigger</w:t>
            </w:r>
          </w:p>
        </w:tc>
      </w:tr>
      <w:tr>
        <w:tc>
          <w:tcPr>
            <w:tcW w:type="dxa" w:w="3312"/>
            <w:vAlign w:val="center"/>
          </w:tcPr>
          <w:p>
            <w:pPr>
              <w:spacing w:after="40"/>
            </w:pPr>
            <w:r/>
            <w:r>
              <w:rPr>
                <w:rFonts w:ascii="Aptos" w:hAnsi="Aptos"/>
                <w:b w:val="0"/>
                <w:sz w:val="16"/>
              </w:rPr>
              <w:t>Confirmation bias</w:t>
            </w:r>
          </w:p>
        </w:tc>
        <w:tc>
          <w:tcPr>
            <w:tcW w:type="dxa" w:w="3312"/>
            <w:vAlign w:val="center"/>
          </w:tcPr>
          <w:p>
            <w:pPr>
              <w:spacing w:after="40"/>
            </w:pPr>
            <w:r/>
            <w:r>
              <w:rPr>
                <w:rFonts w:ascii="Aptos" w:hAnsi="Aptos"/>
                <w:b w:val="0"/>
                <w:sz w:val="16"/>
              </w:rPr>
              <w:t>The graph may organise evidence around the founder's starting values.</w:t>
            </w:r>
          </w:p>
        </w:tc>
        <w:tc>
          <w:tcPr>
            <w:tcW w:type="dxa" w:w="3312"/>
            <w:vAlign w:val="center"/>
          </w:tcPr>
          <w:p>
            <w:pPr>
              <w:spacing w:after="40"/>
            </w:pPr>
            <w:r/>
            <w:r>
              <w:rPr>
                <w:rFonts w:ascii="Aptos" w:hAnsi="Aptos"/>
                <w:b w:val="0"/>
                <w:sz w:val="16"/>
              </w:rPr>
              <w:t>Pre-register hypotheses; require counter-evidence; blinded review; publish dissent.</w:t>
            </w:r>
          </w:p>
        </w:tc>
      </w:tr>
      <w:tr>
        <w:tc>
          <w:tcPr>
            <w:tcW w:type="dxa" w:w="3312"/>
            <w:vAlign w:val="center"/>
          </w:tcPr>
          <w:p>
            <w:pPr>
              <w:spacing w:after="40"/>
            </w:pPr>
            <w:r/>
            <w:r>
              <w:rPr>
                <w:rFonts w:ascii="Aptos" w:hAnsi="Aptos"/>
                <w:b w:val="0"/>
                <w:sz w:val="16"/>
              </w:rPr>
              <w:t>Normative capture</w:t>
            </w:r>
          </w:p>
        </w:tc>
        <w:tc>
          <w:tcPr>
            <w:tcW w:type="dxa" w:w="3312"/>
            <w:vAlign w:val="center"/>
          </w:tcPr>
          <w:p>
            <w:pPr>
              <w:spacing w:after="40"/>
            </w:pPr>
            <w:r/>
            <w:r>
              <w:rPr>
                <w:rFonts w:ascii="Aptos" w:hAnsi="Aptos"/>
                <w:b w:val="0"/>
                <w:sz w:val="16"/>
              </w:rPr>
              <w:t>AURA may encode one political philosophy as objective truth.</w:t>
            </w:r>
          </w:p>
        </w:tc>
        <w:tc>
          <w:tcPr>
            <w:tcW w:type="dxa" w:w="3312"/>
            <w:vAlign w:val="center"/>
          </w:tcPr>
          <w:p>
            <w:pPr>
              <w:spacing w:after="40"/>
            </w:pPr>
            <w:r/>
            <w:r>
              <w:rPr>
                <w:rFonts w:ascii="Aptos" w:hAnsi="Aptos"/>
                <w:b w:val="0"/>
                <w:sz w:val="16"/>
              </w:rPr>
              <w:t>Plural values; public value register; no hidden aggregate score; allow dissent and alternative weighting.</w:t>
            </w:r>
          </w:p>
        </w:tc>
      </w:tr>
      <w:tr>
        <w:tc>
          <w:tcPr>
            <w:tcW w:type="dxa" w:w="3312"/>
            <w:vAlign w:val="center"/>
          </w:tcPr>
          <w:p>
            <w:pPr>
              <w:spacing w:after="40"/>
            </w:pPr>
            <w:r/>
            <w:r>
              <w:rPr>
                <w:rFonts w:ascii="Aptos" w:hAnsi="Aptos"/>
                <w:b w:val="0"/>
                <w:sz w:val="16"/>
              </w:rPr>
              <w:t>False precision</w:t>
            </w:r>
          </w:p>
        </w:tc>
        <w:tc>
          <w:tcPr>
            <w:tcW w:type="dxa" w:w="3312"/>
            <w:vAlign w:val="center"/>
          </w:tcPr>
          <w:p>
            <w:pPr>
              <w:spacing w:after="40"/>
            </w:pPr>
            <w:r/>
            <w:r>
              <w:rPr>
                <w:rFonts w:ascii="Aptos" w:hAnsi="Aptos"/>
                <w:b w:val="0"/>
                <w:sz w:val="16"/>
              </w:rPr>
              <w:t>TE/VTR/PAI or coherence scores can make subjective judgements look scientific.</w:t>
            </w:r>
          </w:p>
        </w:tc>
        <w:tc>
          <w:tcPr>
            <w:tcW w:type="dxa" w:w="3312"/>
            <w:vAlign w:val="center"/>
          </w:tcPr>
          <w:p>
            <w:pPr>
              <w:spacing w:after="40"/>
            </w:pPr>
            <w:r/>
            <w:r>
              <w:rPr>
                <w:rFonts w:ascii="Aptos" w:hAnsi="Aptos"/>
                <w:b w:val="0"/>
                <w:sz w:val="16"/>
              </w:rPr>
              <w:t>No numerical publication until formula, calibration, validity and uncertainty are documented.</w:t>
            </w:r>
          </w:p>
        </w:tc>
      </w:tr>
      <w:tr>
        <w:tc>
          <w:tcPr>
            <w:tcW w:type="dxa" w:w="3312"/>
            <w:vAlign w:val="center"/>
          </w:tcPr>
          <w:p>
            <w:pPr>
              <w:spacing w:after="40"/>
            </w:pPr>
            <w:r/>
            <w:r>
              <w:rPr>
                <w:rFonts w:ascii="Aptos" w:hAnsi="Aptos"/>
                <w:b w:val="0"/>
                <w:sz w:val="16"/>
              </w:rPr>
              <w:t>Cascade overreach</w:t>
            </w:r>
          </w:p>
        </w:tc>
        <w:tc>
          <w:tcPr>
            <w:tcW w:type="dxa" w:w="3312"/>
            <w:vAlign w:val="center"/>
          </w:tcPr>
          <w:p>
            <w:pPr>
              <w:spacing w:after="40"/>
            </w:pPr>
            <w:r/>
            <w:r>
              <w:rPr>
                <w:rFonts w:ascii="Aptos" w:hAnsi="Aptos"/>
                <w:b w:val="0"/>
                <w:sz w:val="16"/>
              </w:rPr>
              <w:t>One weak or misinterpreted source could trigger widespread changes.</w:t>
            </w:r>
          </w:p>
        </w:tc>
        <w:tc>
          <w:tcPr>
            <w:tcW w:type="dxa" w:w="3312"/>
            <w:vAlign w:val="center"/>
          </w:tcPr>
          <w:p>
            <w:pPr>
              <w:spacing w:after="40"/>
            </w:pPr>
            <w:r/>
            <w:r>
              <w:rPr>
                <w:rFonts w:ascii="Aptos" w:hAnsi="Aptos"/>
                <w:b w:val="0"/>
                <w:sz w:val="16"/>
              </w:rPr>
              <w:t>Flag for review rather than auto-rewrite; versioning; change-impact thresholds; human sign-off.</w:t>
            </w:r>
          </w:p>
        </w:tc>
      </w:tr>
      <w:tr>
        <w:tc>
          <w:tcPr>
            <w:tcW w:type="dxa" w:w="3312"/>
            <w:vAlign w:val="center"/>
          </w:tcPr>
          <w:p>
            <w:pPr>
              <w:spacing w:after="40"/>
            </w:pPr>
            <w:r/>
            <w:r>
              <w:rPr>
                <w:rFonts w:ascii="Aptos" w:hAnsi="Aptos"/>
                <w:b w:val="0"/>
                <w:sz w:val="16"/>
              </w:rPr>
              <w:t>Source quality / AI hallucination</w:t>
            </w:r>
          </w:p>
        </w:tc>
        <w:tc>
          <w:tcPr>
            <w:tcW w:type="dxa" w:w="3312"/>
            <w:vAlign w:val="center"/>
          </w:tcPr>
          <w:p>
            <w:pPr>
              <w:spacing w:after="40"/>
            </w:pPr>
            <w:r/>
            <w:r>
              <w:rPr>
                <w:rFonts w:ascii="Aptos" w:hAnsi="Aptos"/>
                <w:b w:val="0"/>
                <w:sz w:val="16"/>
              </w:rPr>
              <w:t>Summaries can misquote sources or invent support.</w:t>
            </w:r>
          </w:p>
        </w:tc>
        <w:tc>
          <w:tcPr>
            <w:tcW w:type="dxa" w:w="3312"/>
            <w:vAlign w:val="center"/>
          </w:tcPr>
          <w:p>
            <w:pPr>
              <w:spacing w:after="40"/>
            </w:pPr>
            <w:r/>
            <w:r>
              <w:rPr>
                <w:rFonts w:ascii="Aptos" w:hAnsi="Aptos"/>
                <w:b w:val="0"/>
                <w:sz w:val="16"/>
              </w:rPr>
              <w:t>Claim-level citations; direct source checks; sampling audits; no AI-only evidence.</w:t>
            </w:r>
          </w:p>
        </w:tc>
      </w:tr>
      <w:tr>
        <w:tc>
          <w:tcPr>
            <w:tcW w:type="dxa" w:w="3312"/>
            <w:vAlign w:val="center"/>
          </w:tcPr>
          <w:p>
            <w:pPr>
              <w:spacing w:after="40"/>
            </w:pPr>
            <w:r/>
            <w:r>
              <w:rPr>
                <w:rFonts w:ascii="Aptos" w:hAnsi="Aptos"/>
                <w:b w:val="0"/>
                <w:sz w:val="16"/>
              </w:rPr>
              <w:t>Political asymmetry</w:t>
            </w:r>
          </w:p>
        </w:tc>
        <w:tc>
          <w:tcPr>
            <w:tcW w:type="dxa" w:w="3312"/>
            <w:vAlign w:val="center"/>
          </w:tcPr>
          <w:p>
            <w:pPr>
              <w:spacing w:after="40"/>
            </w:pPr>
            <w:r/>
            <w:r>
              <w:rPr>
                <w:rFonts w:ascii="Aptos" w:hAnsi="Aptos"/>
                <w:b w:val="0"/>
                <w:sz w:val="16"/>
              </w:rPr>
              <w:t>The system may scrutinise some parties or ideologies more harshly.</w:t>
            </w:r>
          </w:p>
        </w:tc>
        <w:tc>
          <w:tcPr>
            <w:tcW w:type="dxa" w:w="3312"/>
            <w:vAlign w:val="center"/>
          </w:tcPr>
          <w:p>
            <w:pPr>
              <w:spacing w:after="40"/>
            </w:pPr>
            <w:r/>
            <w:r>
              <w:rPr>
                <w:rFonts w:ascii="Aptos" w:hAnsi="Aptos"/>
                <w:b w:val="0"/>
                <w:sz w:val="16"/>
              </w:rPr>
              <w:t>Matched-pair test cases; equal source standards; blind reviewers; publish asymmetry audit.</w:t>
            </w:r>
          </w:p>
        </w:tc>
      </w:tr>
      <w:tr>
        <w:tc>
          <w:tcPr>
            <w:tcW w:type="dxa" w:w="3312"/>
            <w:vAlign w:val="center"/>
          </w:tcPr>
          <w:p>
            <w:pPr>
              <w:spacing w:after="40"/>
            </w:pPr>
            <w:r/>
            <w:r>
              <w:rPr>
                <w:rFonts w:ascii="Aptos" w:hAnsi="Aptos"/>
                <w:b w:val="0"/>
                <w:sz w:val="16"/>
              </w:rPr>
              <w:t>Te Tiriti / cultural harm</w:t>
            </w:r>
          </w:p>
        </w:tc>
        <w:tc>
          <w:tcPr>
            <w:tcW w:type="dxa" w:w="3312"/>
            <w:vAlign w:val="center"/>
          </w:tcPr>
          <w:p>
            <w:pPr>
              <w:spacing w:after="40"/>
            </w:pPr>
            <w:r/>
            <w:r>
              <w:rPr>
                <w:rFonts w:ascii="Aptos" w:hAnsi="Aptos"/>
                <w:b w:val="0"/>
                <w:sz w:val="16"/>
              </w:rPr>
              <w:t>Framework could flatten authority, tikanga, Māori data interests or community knowledge.</w:t>
            </w:r>
          </w:p>
        </w:tc>
        <w:tc>
          <w:tcPr>
            <w:tcW w:type="dxa" w:w="3312"/>
            <w:vAlign w:val="center"/>
          </w:tcPr>
          <w:p>
            <w:pPr>
              <w:spacing w:after="40"/>
            </w:pPr>
            <w:r/>
            <w:r>
              <w:rPr>
                <w:rFonts w:ascii="Aptos" w:hAnsi="Aptos"/>
                <w:b w:val="0"/>
                <w:sz w:val="16"/>
              </w:rPr>
              <w:t>Engage appropriate expertise; respect data sovereignty and consent; document disagreement and limits.</w:t>
            </w:r>
          </w:p>
        </w:tc>
      </w:tr>
      <w:tr>
        <w:tc>
          <w:tcPr>
            <w:tcW w:type="dxa" w:w="3312"/>
            <w:vAlign w:val="center"/>
          </w:tcPr>
          <w:p>
            <w:pPr>
              <w:spacing w:after="40"/>
            </w:pPr>
            <w:r/>
            <w:r>
              <w:rPr>
                <w:rFonts w:ascii="Aptos" w:hAnsi="Aptos"/>
                <w:b w:val="0"/>
                <w:sz w:val="16"/>
              </w:rPr>
              <w:t>Privacy and retaliation</w:t>
            </w:r>
          </w:p>
        </w:tc>
        <w:tc>
          <w:tcPr>
            <w:tcW w:type="dxa" w:w="3312"/>
            <w:vAlign w:val="center"/>
          </w:tcPr>
          <w:p>
            <w:pPr>
              <w:spacing w:after="40"/>
            </w:pPr>
            <w:r/>
            <w:r>
              <w:rPr>
                <w:rFonts w:ascii="Aptos" w:hAnsi="Aptos"/>
                <w:b w:val="0"/>
                <w:sz w:val="16"/>
              </w:rPr>
              <w:t>Pseudonymous authorship may be linkable; publication may affect employment.</w:t>
            </w:r>
          </w:p>
        </w:tc>
        <w:tc>
          <w:tcPr>
            <w:tcW w:type="dxa" w:w="3312"/>
            <w:vAlign w:val="center"/>
          </w:tcPr>
          <w:p>
            <w:pPr>
              <w:spacing w:after="40"/>
            </w:pPr>
            <w:r/>
            <w:r>
              <w:rPr>
                <w:rFonts w:ascii="Aptos" w:hAnsi="Aptos"/>
                <w:b w:val="0"/>
                <w:sz w:val="16"/>
              </w:rPr>
              <w:t>Threat model; metadata review; minimise collection; separate identities; obtain specialist advice.</w:t>
            </w:r>
          </w:p>
        </w:tc>
      </w:tr>
      <w:tr>
        <w:tc>
          <w:tcPr>
            <w:tcW w:type="dxa" w:w="3312"/>
            <w:vAlign w:val="center"/>
          </w:tcPr>
          <w:p>
            <w:pPr>
              <w:spacing w:after="40"/>
            </w:pPr>
            <w:r/>
            <w:r>
              <w:rPr>
                <w:rFonts w:ascii="Aptos" w:hAnsi="Aptos"/>
                <w:b w:val="0"/>
                <w:sz w:val="16"/>
              </w:rPr>
              <w:t>Defamation / reputational harm</w:t>
            </w:r>
          </w:p>
        </w:tc>
        <w:tc>
          <w:tcPr>
            <w:tcW w:type="dxa" w:w="3312"/>
            <w:vAlign w:val="center"/>
          </w:tcPr>
          <w:p>
            <w:pPr>
              <w:spacing w:after="40"/>
            </w:pPr>
            <w:r/>
            <w:r>
              <w:rPr>
                <w:rFonts w:ascii="Aptos" w:hAnsi="Aptos"/>
                <w:b w:val="0"/>
                <w:sz w:val="16"/>
              </w:rPr>
              <w:t>Unsupported claims about identifiable people can cause serious damage.</w:t>
            </w:r>
          </w:p>
        </w:tc>
        <w:tc>
          <w:tcPr>
            <w:tcW w:type="dxa" w:w="3312"/>
            <w:vAlign w:val="center"/>
          </w:tcPr>
          <w:p>
            <w:pPr>
              <w:spacing w:after="40"/>
            </w:pPr>
            <w:r/>
            <w:r>
              <w:rPr>
                <w:rFonts w:ascii="Aptos" w:hAnsi="Aptos"/>
                <w:b w:val="0"/>
                <w:sz w:val="16"/>
              </w:rPr>
              <w:t>Focus on documented actions and public records; right of reply for consequential disputed allegations; legal review when warranted.</w:t>
            </w:r>
          </w:p>
        </w:tc>
      </w:tr>
      <w:tr>
        <w:tc>
          <w:tcPr>
            <w:tcW w:type="dxa" w:w="3312"/>
            <w:vAlign w:val="center"/>
          </w:tcPr>
          <w:p>
            <w:pPr>
              <w:spacing w:after="40"/>
            </w:pPr>
            <w:r/>
            <w:r>
              <w:rPr>
                <w:rFonts w:ascii="Aptos" w:hAnsi="Aptos"/>
                <w:b w:val="0"/>
                <w:sz w:val="16"/>
              </w:rPr>
              <w:t>Election-period misuse</w:t>
            </w:r>
          </w:p>
        </w:tc>
        <w:tc>
          <w:tcPr>
            <w:tcW w:type="dxa" w:w="3312"/>
            <w:vAlign w:val="center"/>
          </w:tcPr>
          <w:p>
            <w:pPr>
              <w:spacing w:after="40"/>
            </w:pPr>
            <w:r/>
            <w:r>
              <w:rPr>
                <w:rFonts w:ascii="Aptos" w:hAnsi="Aptos"/>
                <w:b w:val="0"/>
                <w:sz w:val="16"/>
              </w:rPr>
              <w:t>Research could be repurposed as partisan persuasion or published before checks are complete.</w:t>
            </w:r>
          </w:p>
        </w:tc>
        <w:tc>
          <w:tcPr>
            <w:tcW w:type="dxa" w:w="3312"/>
            <w:vAlign w:val="center"/>
          </w:tcPr>
          <w:p>
            <w:pPr>
              <w:spacing w:after="40"/>
            </w:pPr>
            <w:r/>
            <w:r>
              <w:rPr>
                <w:rFonts w:ascii="Aptos" w:hAnsi="Aptos"/>
                <w:b w:val="0"/>
                <w:sz w:val="16"/>
              </w:rPr>
              <w:t>Candidate-neutral format; dated sources; no endorsements/rankings; freeze or delay high-risk claims.</w:t>
            </w:r>
          </w:p>
        </w:tc>
      </w:tr>
      <w:tr>
        <w:tc>
          <w:tcPr>
            <w:tcW w:type="dxa" w:w="3312"/>
            <w:vAlign w:val="center"/>
          </w:tcPr>
          <w:p>
            <w:pPr>
              <w:spacing w:after="40"/>
            </w:pPr>
            <w:r/>
            <w:r>
              <w:rPr>
                <w:rFonts w:ascii="Aptos" w:hAnsi="Aptos"/>
                <w:b w:val="0"/>
                <w:sz w:val="16"/>
              </w:rPr>
              <w:t>Founder overload / project sprawl</w:t>
            </w:r>
          </w:p>
        </w:tc>
        <w:tc>
          <w:tcPr>
            <w:tcW w:type="dxa" w:w="3312"/>
            <w:vAlign w:val="center"/>
          </w:tcPr>
          <w:p>
            <w:pPr>
              <w:spacing w:after="40"/>
            </w:pPr>
            <w:r/>
            <w:r>
              <w:rPr>
                <w:rFonts w:ascii="Aptos" w:hAnsi="Aptos"/>
                <w:b w:val="0"/>
                <w:sz w:val="16"/>
              </w:rPr>
              <w:t>Scope can expand faster than a solo researcher can validate it.</w:t>
            </w:r>
          </w:p>
        </w:tc>
        <w:tc>
          <w:tcPr>
            <w:tcW w:type="dxa" w:w="3312"/>
            <w:vAlign w:val="center"/>
          </w:tcPr>
          <w:p>
            <w:pPr>
              <w:spacing w:after="40"/>
            </w:pPr>
            <w:r/>
            <w:r>
              <w:rPr>
                <w:rFonts w:ascii="Aptos" w:hAnsi="Aptos"/>
                <w:b w:val="0"/>
                <w:sz w:val="16"/>
              </w:rPr>
              <w:t>One bounded case; staged gates; weekly effort cap; defer product UI until the evidence model works.</w:t>
            </w:r>
          </w:p>
        </w:tc>
      </w:tr>
      <w:tr>
        <w:tc>
          <w:tcPr>
            <w:tcW w:type="dxa" w:w="3312"/>
            <w:vAlign w:val="center"/>
          </w:tcPr>
          <w:p>
            <w:pPr>
              <w:spacing w:after="40"/>
            </w:pPr>
            <w:r/>
            <w:r>
              <w:rPr>
                <w:rFonts w:ascii="Aptos" w:hAnsi="Aptos"/>
                <w:b w:val="0"/>
                <w:sz w:val="16"/>
              </w:rPr>
              <w:t>Security / prompt injection</w:t>
            </w:r>
          </w:p>
        </w:tc>
        <w:tc>
          <w:tcPr>
            <w:tcW w:type="dxa" w:w="3312"/>
            <w:vAlign w:val="center"/>
          </w:tcPr>
          <w:p>
            <w:pPr>
              <w:spacing w:after="40"/>
            </w:pPr>
            <w:r/>
            <w:r>
              <w:rPr>
                <w:rFonts w:ascii="Aptos" w:hAnsi="Aptos"/>
                <w:b w:val="0"/>
                <w:sz w:val="16"/>
              </w:rPr>
              <w:t>Malicious source content could influence automated analysis.</w:t>
            </w:r>
          </w:p>
        </w:tc>
        <w:tc>
          <w:tcPr>
            <w:tcW w:type="dxa" w:w="3312"/>
            <w:vAlign w:val="center"/>
          </w:tcPr>
          <w:p>
            <w:pPr>
              <w:spacing w:after="40"/>
            </w:pPr>
            <w:r/>
            <w:r>
              <w:rPr>
                <w:rFonts w:ascii="Aptos" w:hAnsi="Aptos"/>
                <w:b w:val="0"/>
                <w:sz w:val="16"/>
              </w:rPr>
              <w:t>Treat retrieved text as untrusted; separate source content from instructions; test adversarial inputs.</w:t>
            </w:r>
          </w:p>
        </w:tc>
      </w:tr>
      <w:tr>
        <w:tc>
          <w:tcPr>
            <w:tcW w:type="dxa" w:w="3312"/>
            <w:vAlign w:val="center"/>
          </w:tcPr>
          <w:p>
            <w:pPr>
              <w:spacing w:after="40"/>
            </w:pPr>
            <w:r/>
            <w:r>
              <w:rPr>
                <w:rFonts w:ascii="Aptos" w:hAnsi="Aptos"/>
                <w:b w:val="0"/>
                <w:sz w:val="16"/>
              </w:rPr>
              <w:t>Metric gaming</w:t>
            </w:r>
          </w:p>
        </w:tc>
        <w:tc>
          <w:tcPr>
            <w:tcW w:type="dxa" w:w="3312"/>
            <w:vAlign w:val="center"/>
          </w:tcPr>
          <w:p>
            <w:pPr>
              <w:spacing w:after="40"/>
            </w:pPr>
            <w:r/>
            <w:r>
              <w:rPr>
                <w:rFonts w:ascii="Aptos" w:hAnsi="Aptos"/>
                <w:b w:val="0"/>
                <w:sz w:val="16"/>
              </w:rPr>
              <w:t>People could optimise for a score rather than real public value.</w:t>
            </w:r>
          </w:p>
        </w:tc>
        <w:tc>
          <w:tcPr>
            <w:tcW w:type="dxa" w:w="3312"/>
            <w:vAlign w:val="center"/>
          </w:tcPr>
          <w:p>
            <w:pPr>
              <w:spacing w:after="40"/>
            </w:pPr>
            <w:r/>
            <w:r>
              <w:rPr>
                <w:rFonts w:ascii="Aptos" w:hAnsi="Aptos"/>
                <w:b w:val="0"/>
                <w:sz w:val="16"/>
              </w:rPr>
              <w:t>Audit incentives; rotate benchmarks; preserve raw measures; evaluate external outcomes where feasible.</w:t>
            </w:r>
          </w:p>
        </w:tc>
      </w:tr>
    </w:tbl>
    <w:p/>
    <w:p>
      <w:pPr>
        <w:pStyle w:val="Heading1"/>
      </w:pPr>
      <w:r>
        <w:t>10. Concrete work plan and milestones</w:t>
      </w:r>
    </w:p>
    <w:p>
      <w:r>
        <w:t>A realistic first cycle is 12 weeks, assuming part-time founder capacity and a deliberately narrow first case. Calendar estimates are provisional; the project should not trade accuracy for a deadline. If capacity is constrained, extend the schedule rather than remove the review gates.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Aptos" w:hAnsi="Aptos"/>
                <w:b/>
                <w:sz w:val="17"/>
              </w:rPr>
              <w:t>Phase / timing</w:t>
            </w:r>
          </w:p>
        </w:tc>
        <w:tc>
          <w:tcPr>
            <w:tcW w:type="dxa" w:w="3312"/>
            <w:vAlign w:val="center"/>
            <w:shd w:fill="D9EAF7"/>
          </w:tcPr>
          <w:p>
            <w:pPr>
              <w:spacing w:after="40"/>
            </w:pPr>
            <w:r/>
            <w:r>
              <w:rPr>
                <w:rFonts w:ascii="Aptos" w:hAnsi="Aptos"/>
                <w:b/>
                <w:sz w:val="17"/>
              </w:rPr>
              <w:t>Work</w:t>
            </w:r>
          </w:p>
        </w:tc>
        <w:tc>
          <w:tcPr>
            <w:tcW w:type="dxa" w:w="3312"/>
            <w:vAlign w:val="center"/>
            <w:shd w:fill="D9EAF7"/>
          </w:tcPr>
          <w:p>
            <w:pPr>
              <w:spacing w:after="40"/>
            </w:pPr>
            <w:r/>
            <w:r>
              <w:rPr>
                <w:rFonts w:ascii="Aptos" w:hAnsi="Aptos"/>
                <w:b/>
                <w:sz w:val="17"/>
              </w:rPr>
              <w:t>Deliverables / exit gate</w:t>
            </w:r>
          </w:p>
        </w:tc>
      </w:tr>
      <w:tr>
        <w:tc>
          <w:tcPr>
            <w:tcW w:type="dxa" w:w="3312"/>
            <w:vAlign w:val="center"/>
          </w:tcPr>
          <w:p>
            <w:pPr>
              <w:spacing w:after="40"/>
            </w:pPr>
            <w:r/>
            <w:r>
              <w:rPr>
                <w:rFonts w:ascii="Aptos" w:hAnsi="Aptos"/>
                <w:b w:val="0"/>
                <w:sz w:val="16"/>
              </w:rPr>
              <w:t>Weeks 1–2: Foundation</w:t>
            </w:r>
          </w:p>
        </w:tc>
        <w:tc>
          <w:tcPr>
            <w:tcW w:type="dxa" w:w="3312"/>
            <w:vAlign w:val="center"/>
          </w:tcPr>
          <w:p>
            <w:pPr>
              <w:spacing w:after="40"/>
            </w:pPr>
            <w:r/>
            <w:r>
              <w:rPr>
                <w:rFonts w:ascii="Aptos" w:hAnsi="Aptos"/>
                <w:b w:val="0"/>
                <w:sz w:val="16"/>
              </w:rPr>
              <w:t>Freeze charter v0.1; preserve source PDF; establish provenance labels; write terminology crosswalk; set privacy and correction procedures.</w:t>
            </w:r>
          </w:p>
        </w:tc>
        <w:tc>
          <w:tcPr>
            <w:tcW w:type="dxa" w:w="3312"/>
            <w:vAlign w:val="center"/>
          </w:tcPr>
          <w:p>
            <w:pPr>
              <w:spacing w:after="40"/>
            </w:pPr>
            <w:r/>
            <w:r>
              <w:rPr>
                <w:rFonts w:ascii="Aptos" w:hAnsi="Aptos"/>
                <w:b w:val="0"/>
                <w:sz w:val="16"/>
              </w:rPr>
              <w:t>Charter v1.0; source register; PDF claim ledger; public scope and non-goals. Gate: every historical claim is clearly labelled.</w:t>
            </w:r>
          </w:p>
        </w:tc>
      </w:tr>
      <w:tr>
        <w:tc>
          <w:tcPr>
            <w:tcW w:type="dxa" w:w="3312"/>
            <w:vAlign w:val="center"/>
          </w:tcPr>
          <w:p>
            <w:pPr>
              <w:spacing w:after="40"/>
            </w:pPr>
            <w:r/>
            <w:r>
              <w:rPr>
                <w:rFonts w:ascii="Aptos" w:hAnsi="Aptos"/>
                <w:b w:val="0"/>
                <w:sz w:val="16"/>
              </w:rPr>
              <w:t>Weeks 3–4: Data model</w:t>
            </w:r>
          </w:p>
        </w:tc>
        <w:tc>
          <w:tcPr>
            <w:tcW w:type="dxa" w:w="3312"/>
            <w:vAlign w:val="center"/>
          </w:tcPr>
          <w:p>
            <w:pPr>
              <w:spacing w:after="40"/>
            </w:pPr>
            <w:r/>
            <w:r>
              <w:rPr>
                <w:rFonts w:ascii="Aptos" w:hAnsi="Aptos"/>
                <w:b w:val="0"/>
                <w:sz w:val="16"/>
              </w:rPr>
              <w:t>Define ClaimBlock, SourceRecord, EvidenceLink, DependencyEdge, PolicyOption, DecisionRecord and CorrectionRecord; create JSON schema or equivalent.</w:t>
            </w:r>
          </w:p>
        </w:tc>
        <w:tc>
          <w:tcPr>
            <w:tcW w:type="dxa" w:w="3312"/>
            <w:vAlign w:val="center"/>
          </w:tcPr>
          <w:p>
            <w:pPr>
              <w:spacing w:after="40"/>
            </w:pPr>
            <w:r/>
            <w:r>
              <w:rPr>
                <w:rFonts w:ascii="Aptos" w:hAnsi="Aptos"/>
                <w:b w:val="0"/>
                <w:sz w:val="16"/>
              </w:rPr>
              <w:t>Schema v0.1; 20–30 example records; validation rules; versioning convention. Gate: all records validate and sources resolve.</w:t>
            </w:r>
          </w:p>
        </w:tc>
      </w:tr>
      <w:tr>
        <w:tc>
          <w:tcPr>
            <w:tcW w:type="dxa" w:w="3312"/>
            <w:vAlign w:val="center"/>
          </w:tcPr>
          <w:p>
            <w:pPr>
              <w:spacing w:after="40"/>
            </w:pPr>
            <w:r/>
            <w:r>
              <w:rPr>
                <w:rFonts w:ascii="Aptos" w:hAnsi="Aptos"/>
                <w:b w:val="0"/>
                <w:sz w:val="16"/>
              </w:rPr>
              <w:t>Weeks 5–6: AURA specification</w:t>
            </w:r>
          </w:p>
        </w:tc>
        <w:tc>
          <w:tcPr>
            <w:tcW w:type="dxa" w:w="3312"/>
            <w:vAlign w:val="center"/>
          </w:tcPr>
          <w:p>
            <w:pPr>
              <w:spacing w:after="40"/>
            </w:pPr>
            <w:r/>
            <w:r>
              <w:rPr>
                <w:rFonts w:ascii="Aptos" w:hAnsi="Aptos"/>
                <w:b w:val="0"/>
                <w:sz w:val="16"/>
              </w:rPr>
              <w:t>Define TE/VTR/PAI constructs separately; decide whether any are measurable; implement checklist and value register before numeric scores.</w:t>
            </w:r>
          </w:p>
        </w:tc>
        <w:tc>
          <w:tcPr>
            <w:tcW w:type="dxa" w:w="3312"/>
            <w:vAlign w:val="center"/>
          </w:tcPr>
          <w:p>
            <w:pPr>
              <w:spacing w:after="40"/>
            </w:pPr>
            <w:r/>
            <w:r>
              <w:rPr>
                <w:rFonts w:ascii="Aptos" w:hAnsi="Aptos"/>
                <w:b w:val="0"/>
                <w:sz w:val="16"/>
              </w:rPr>
              <w:t>AURA operational specification; metric preregistration draft; worked cases with conflicting values. Gate: no undefined metric presented as objective measurement.</w:t>
            </w:r>
          </w:p>
        </w:tc>
      </w:tr>
      <w:tr>
        <w:tc>
          <w:tcPr>
            <w:tcW w:type="dxa" w:w="3312"/>
            <w:vAlign w:val="center"/>
          </w:tcPr>
          <w:p>
            <w:pPr>
              <w:spacing w:after="40"/>
            </w:pPr>
            <w:r/>
            <w:r>
              <w:rPr>
                <w:rFonts w:ascii="Aptos" w:hAnsi="Aptos"/>
                <w:b w:val="0"/>
                <w:sz w:val="16"/>
              </w:rPr>
              <w:t>Weeks 7–8: CASCADE prototype</w:t>
            </w:r>
          </w:p>
        </w:tc>
        <w:tc>
          <w:tcPr>
            <w:tcW w:type="dxa" w:w="3312"/>
            <w:vAlign w:val="center"/>
          </w:tcPr>
          <w:p>
            <w:pPr>
              <w:spacing w:after="40"/>
            </w:pPr>
            <w:r/>
            <w:r>
              <w:rPr>
                <w:rFonts w:ascii="Aptos" w:hAnsi="Aptos"/>
                <w:b w:val="0"/>
                <w:sz w:val="16"/>
              </w:rPr>
              <w:t>Implement dependency graph and “review required” propagation; create seeded benchmark for changed/retracted sources.</w:t>
            </w:r>
          </w:p>
        </w:tc>
        <w:tc>
          <w:tcPr>
            <w:tcW w:type="dxa" w:w="3312"/>
            <w:vAlign w:val="center"/>
          </w:tcPr>
          <w:p>
            <w:pPr>
              <w:spacing w:after="40"/>
            </w:pPr>
            <w:r/>
            <w:r>
              <w:rPr>
                <w:rFonts w:ascii="Aptos" w:hAnsi="Aptos"/>
                <w:b w:val="0"/>
                <w:sz w:val="16"/>
              </w:rPr>
              <w:t>Prototype; unit tests; false-cascade and missed-dependency report. Gate: no automatic truth promotion or irreversible rewriting.</w:t>
            </w:r>
          </w:p>
        </w:tc>
      </w:tr>
      <w:tr>
        <w:tc>
          <w:tcPr>
            <w:tcW w:type="dxa" w:w="3312"/>
            <w:vAlign w:val="center"/>
          </w:tcPr>
          <w:p>
            <w:pPr>
              <w:spacing w:after="40"/>
            </w:pPr>
            <w:r/>
            <w:r>
              <w:rPr>
                <w:rFonts w:ascii="Aptos" w:hAnsi="Aptos"/>
                <w:b w:val="0"/>
                <w:sz w:val="16"/>
              </w:rPr>
              <w:t>Weeks 9–10: Policy case</w:t>
            </w:r>
          </w:p>
        </w:tc>
        <w:tc>
          <w:tcPr>
            <w:tcW w:type="dxa" w:w="3312"/>
            <w:vAlign w:val="center"/>
          </w:tcPr>
          <w:p>
            <w:pPr>
              <w:spacing w:after="40"/>
            </w:pPr>
            <w:r/>
            <w:r>
              <w:rPr>
                <w:rFonts w:ascii="Aptos" w:hAnsi="Aptos"/>
                <w:b w:val="0"/>
                <w:sz w:val="16"/>
              </w:rPr>
              <w:t>Select first topic using published criteria; assemble primary sources and counter-evidence; draft policy case using common template.</w:t>
            </w:r>
          </w:p>
        </w:tc>
        <w:tc>
          <w:tcPr>
            <w:tcW w:type="dxa" w:w="3312"/>
            <w:vAlign w:val="center"/>
          </w:tcPr>
          <w:p>
            <w:pPr>
              <w:spacing w:after="40"/>
            </w:pPr>
            <w:r/>
            <w:r>
              <w:rPr>
                <w:rFonts w:ascii="Aptos" w:hAnsi="Aptos"/>
                <w:b w:val="0"/>
                <w:sz w:val="16"/>
              </w:rPr>
              <w:t>Sourced policy dossier v0.1; claim ledger; impact map; uncertainty section. Gate: major claims are source-traceable.</w:t>
            </w:r>
          </w:p>
        </w:tc>
      </w:tr>
      <w:tr>
        <w:tc>
          <w:tcPr>
            <w:tcW w:type="dxa" w:w="3312"/>
            <w:vAlign w:val="center"/>
          </w:tcPr>
          <w:p>
            <w:pPr>
              <w:spacing w:after="40"/>
            </w:pPr>
            <w:r/>
            <w:r>
              <w:rPr>
                <w:rFonts w:ascii="Aptos" w:hAnsi="Aptos"/>
                <w:b w:val="0"/>
                <w:sz w:val="16"/>
              </w:rPr>
              <w:t>Week 11: Red team</w:t>
            </w:r>
          </w:p>
        </w:tc>
        <w:tc>
          <w:tcPr>
            <w:tcW w:type="dxa" w:w="3312"/>
            <w:vAlign w:val="center"/>
          </w:tcPr>
          <w:p>
            <w:pPr>
              <w:spacing w:after="40"/>
            </w:pPr>
            <w:r/>
            <w:r>
              <w:rPr>
                <w:rFonts w:ascii="Aptos" w:hAnsi="Aptos"/>
                <w:b w:val="0"/>
                <w:sz w:val="16"/>
              </w:rPr>
              <w:t>Independent or adversarial review; matched ideological cases; check citations, value trade-offs, privacy and legal risks.</w:t>
            </w:r>
          </w:p>
        </w:tc>
        <w:tc>
          <w:tcPr>
            <w:tcW w:type="dxa" w:w="3312"/>
            <w:vAlign w:val="center"/>
          </w:tcPr>
          <w:p>
            <w:pPr>
              <w:spacing w:after="40"/>
            </w:pPr>
            <w:r/>
            <w:r>
              <w:rPr>
                <w:rFonts w:ascii="Aptos" w:hAnsi="Aptos"/>
                <w:b w:val="0"/>
                <w:sz w:val="16"/>
              </w:rPr>
              <w:t>Review log; severity-ranked defects; corrections; unresolved objections.</w:t>
            </w:r>
          </w:p>
        </w:tc>
      </w:tr>
      <w:tr>
        <w:tc>
          <w:tcPr>
            <w:tcW w:type="dxa" w:w="3312"/>
            <w:vAlign w:val="center"/>
          </w:tcPr>
          <w:p>
            <w:pPr>
              <w:spacing w:after="40"/>
            </w:pPr>
            <w:r/>
            <w:r>
              <w:rPr>
                <w:rFonts w:ascii="Aptos" w:hAnsi="Aptos"/>
                <w:b w:val="0"/>
                <w:sz w:val="16"/>
              </w:rPr>
              <w:t>Week 12: Release decision</w:t>
            </w:r>
          </w:p>
        </w:tc>
        <w:tc>
          <w:tcPr>
            <w:tcW w:type="dxa" w:w="3312"/>
            <w:vAlign w:val="center"/>
          </w:tcPr>
          <w:p>
            <w:pPr>
              <w:spacing w:after="40"/>
            </w:pPr>
            <w:r/>
            <w:r>
              <w:rPr>
                <w:rFonts w:ascii="Aptos" w:hAnsi="Aptos"/>
                <w:b w:val="0"/>
                <w:sz w:val="16"/>
              </w:rPr>
              <w:t>Fix critical defects; publish methods, limits, sources and evaluation results; decide what remains private or deferred.</w:t>
            </w:r>
          </w:p>
        </w:tc>
        <w:tc>
          <w:tcPr>
            <w:tcW w:type="dxa" w:w="3312"/>
            <w:vAlign w:val="center"/>
          </w:tcPr>
          <w:p>
            <w:pPr>
              <w:spacing w:after="40"/>
            </w:pPr>
            <w:r/>
            <w:r>
              <w:rPr>
                <w:rFonts w:ascii="Aptos" w:hAnsi="Aptos"/>
                <w:b w:val="0"/>
                <w:sz w:val="16"/>
              </w:rPr>
              <w:t>Founding dossier v1.0; public repository structure; reproducibility package; roadmap v1.1. Gate: explicit go/no-go decision.</w:t>
            </w:r>
          </w:p>
        </w:tc>
      </w:tr>
    </w:tbl>
    <w:p/>
    <w:p>
      <w:pPr>
        <w:pStyle w:val="Heading2"/>
      </w:pPr>
      <w:r>
        <w:t>10.1 Suggested repository layout</w:t>
      </w:r>
    </w:p>
    <w:p>
      <w:pPr>
        <w:pStyle w:val="ListBullet"/>
        <w:spacing w:after="40"/>
      </w:pPr>
      <w:r>
        <w:t>README.md — mission, scope, current status and limitations.</w:t>
      </w:r>
    </w:p>
    <w:p>
      <w:pPr>
        <w:pStyle w:val="ListBullet"/>
        <w:spacing w:after="40"/>
      </w:pPr>
      <w:r>
        <w:t>CHARTER.md — governance, neutrality, privacy, correction and publication standards.</w:t>
      </w:r>
    </w:p>
    <w:p>
      <w:pPr>
        <w:pStyle w:val="ListBullet"/>
        <w:spacing w:after="40"/>
      </w:pPr>
      <w:r>
        <w:t>provenance/ — source inventory, original terminology and claim ledger.</w:t>
      </w:r>
    </w:p>
    <w:p>
      <w:pPr>
        <w:pStyle w:val="ListBullet"/>
        <w:spacing w:after="40"/>
      </w:pPr>
      <w:r>
        <w:t>schemas/ — versioned data schemas and validation rules.</w:t>
      </w:r>
    </w:p>
    <w:p>
      <w:pPr>
        <w:pStyle w:val="ListBullet"/>
        <w:spacing w:after="40"/>
      </w:pPr>
      <w:r>
        <w:t>sources/ — metadata and legally shareable source snapshots or checksums.</w:t>
      </w:r>
    </w:p>
    <w:p>
      <w:pPr>
        <w:pStyle w:val="ListBullet"/>
        <w:spacing w:after="40"/>
      </w:pPr>
      <w:r>
        <w:t>claims/ — claim blocks and evidence links.</w:t>
      </w:r>
    </w:p>
    <w:p>
      <w:pPr>
        <w:pStyle w:val="ListBullet"/>
        <w:spacing w:after="40"/>
      </w:pPr>
      <w:r>
        <w:t>graphs/ — dependency edges and generated graph exports.</w:t>
      </w:r>
    </w:p>
    <w:p>
      <w:pPr>
        <w:pStyle w:val="ListBullet"/>
        <w:spacing w:after="40"/>
      </w:pPr>
      <w:r>
        <w:t>aura/ — values register, decision records and metric specifications.</w:t>
      </w:r>
    </w:p>
    <w:p>
      <w:pPr>
        <w:pStyle w:val="ListBullet"/>
        <w:spacing w:after="40"/>
      </w:pPr>
      <w:r>
        <w:t>cascade/ — propagation logic and tests.</w:t>
      </w:r>
    </w:p>
    <w:p>
      <w:pPr>
        <w:pStyle w:val="ListBullet"/>
        <w:spacing w:after="40"/>
      </w:pPr>
      <w:r>
        <w:t>benchmarks/ — preregistration, test fixtures, evaluation scripts and results.</w:t>
      </w:r>
    </w:p>
    <w:p>
      <w:pPr>
        <w:pStyle w:val="ListBullet"/>
        <w:spacing w:after="40"/>
      </w:pPr>
      <w:r>
        <w:t>policy-cases/ — dossiers, option matrices and review logs.</w:t>
      </w:r>
    </w:p>
    <w:p>
      <w:pPr>
        <w:pStyle w:val="ListBullet"/>
        <w:spacing w:after="40"/>
      </w:pPr>
      <w:r>
        <w:t>corrections/ — public change log and retraction records.</w:t>
      </w:r>
    </w:p>
    <w:p>
      <w:pPr>
        <w:pStyle w:val="ListBullet"/>
        <w:spacing w:after="40"/>
      </w:pPr>
      <w:r>
        <w:t>SECURITY.md / PRIVACY.md — reporting channel, data minimisation and risk process.</w:t>
      </w:r>
    </w:p>
    <w:p>
      <w:pPr>
        <w:pStyle w:val="Heading1"/>
      </w:pPr>
      <w:r>
        <w:t>11. Initial acceptance criteria</w:t>
      </w:r>
    </w:p>
    <w:p>
      <w:r>
        <w:t>The project is not ready to claim validated political utility until the following minimum criteria are met:</w:t>
      </w:r>
    </w:p>
    <w:p>
      <w:pPr>
        <w:pStyle w:val="ListBullet"/>
        <w:spacing w:after="40"/>
      </w:pPr>
      <w:r>
        <w:t>100% of material claims in the founding dossier are labelled as source-derived, externally verified, inference, normative judgement or unresolved.</w:t>
      </w:r>
    </w:p>
    <w:p>
      <w:pPr>
        <w:pStyle w:val="ListBullet"/>
        <w:spacing w:after="40"/>
      </w:pPr>
      <w:r>
        <w:t>Every high-impact factual claim has a working primary or high-quality source link and a checked date.</w:t>
      </w:r>
    </w:p>
    <w:p>
      <w:pPr>
        <w:pStyle w:val="ListBullet"/>
        <w:spacing w:after="40"/>
      </w:pPr>
      <w:r>
        <w:t>The original PDF's “0.98” score and “validated” language are explicitly retained as historical claims but not adopted as findings.</w:t>
      </w:r>
    </w:p>
    <w:p>
      <w:pPr>
        <w:pStyle w:val="ListBullet"/>
        <w:spacing w:after="40"/>
      </w:pPr>
      <w:r>
        <w:t>All AURA metrics used in an experiment have definitions, input rules, directionality, missing-data handling and limitations; otherwise they remain qualitative prompts.</w:t>
      </w:r>
    </w:p>
    <w:p>
      <w:pPr>
        <w:pStyle w:val="ListBullet"/>
        <w:spacing w:after="40"/>
      </w:pPr>
      <w:r>
        <w:t>CASCADE change propagation is tested on seeded relevant and irrelevant updates, including retractions and conflicting evidence.</w:t>
      </w:r>
    </w:p>
    <w:p>
      <w:pPr>
        <w:pStyle w:val="ListBullet"/>
        <w:spacing w:after="40"/>
      </w:pPr>
      <w:r>
        <w:t>The benchmark includes cases that challenge the project's favoured hypotheses as well as cases that support them.</w:t>
      </w:r>
    </w:p>
    <w:p>
      <w:pPr>
        <w:pStyle w:val="ListBullet"/>
        <w:spacing w:after="40"/>
      </w:pPr>
      <w:r>
        <w:t>No public output ranks candidates or parties, recommends a vote, or treats a single value composite as the final civic answer.</w:t>
      </w:r>
    </w:p>
    <w:p>
      <w:pPr>
        <w:pStyle w:val="ListBullet"/>
        <w:spacing w:after="40"/>
      </w:pPr>
      <w:r>
        <w:t>Privacy, source attribution, correction and reviewer-disagreement procedures are documented.</w:t>
      </w:r>
    </w:p>
    <w:p>
      <w:pPr>
        <w:pStyle w:val="ListBullet"/>
        <w:spacing w:after="40"/>
      </w:pPr>
      <w:r>
        <w:t>At least one external reviewer can reproduce the central result from the supplied materials without relying on the author's narrative.</w:t>
      </w:r>
    </w:p>
    <w:p>
      <w:pPr>
        <w:pStyle w:val="ListBullet"/>
        <w:spacing w:after="40"/>
      </w:pPr>
      <w:r>
        <w:t>The project publishes what failed, what remains unknown, and what would change its conclusions.</w:t>
      </w:r>
    </w:p>
    <w:p>
      <w:pPr>
        <w:pStyle w:val="Heading1"/>
      </w:pPr>
      <w:r>
        <w:t>12. Initial decision log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Aptos" w:hAnsi="Aptos"/>
                <w:b/>
                <w:sz w:val="17"/>
              </w:rPr>
              <w:t>Decision ID</w:t>
            </w:r>
          </w:p>
        </w:tc>
        <w:tc>
          <w:tcPr>
            <w:tcW w:type="dxa" w:w="3312"/>
            <w:vAlign w:val="center"/>
            <w:shd w:fill="D9EAF7"/>
          </w:tcPr>
          <w:p>
            <w:pPr>
              <w:spacing w:after="40"/>
            </w:pPr>
            <w:r/>
            <w:r>
              <w:rPr>
                <w:rFonts w:ascii="Aptos" w:hAnsi="Aptos"/>
                <w:b/>
                <w:sz w:val="17"/>
              </w:rPr>
              <w:t>Decision</w:t>
            </w:r>
          </w:p>
        </w:tc>
        <w:tc>
          <w:tcPr>
            <w:tcW w:type="dxa" w:w="3312"/>
            <w:vAlign w:val="center"/>
            <w:shd w:fill="D9EAF7"/>
          </w:tcPr>
          <w:p>
            <w:pPr>
              <w:spacing w:after="40"/>
            </w:pPr>
            <w:r/>
            <w:r>
              <w:rPr>
                <w:rFonts w:ascii="Aptos" w:hAnsi="Aptos"/>
                <w:b/>
                <w:sz w:val="17"/>
              </w:rPr>
              <w:t>Rationale / review trigger</w:t>
            </w:r>
          </w:p>
        </w:tc>
      </w:tr>
      <w:tr>
        <w:tc>
          <w:tcPr>
            <w:tcW w:type="dxa" w:w="3312"/>
            <w:vAlign w:val="center"/>
          </w:tcPr>
          <w:p>
            <w:pPr>
              <w:spacing w:after="40"/>
            </w:pPr>
            <w:r/>
            <w:r>
              <w:rPr>
                <w:rFonts w:ascii="Aptos" w:hAnsi="Aptos"/>
                <w:b w:val="0"/>
                <w:sz w:val="16"/>
              </w:rPr>
              <w:t>D-001</w:t>
            </w:r>
          </w:p>
        </w:tc>
        <w:tc>
          <w:tcPr>
            <w:tcW w:type="dxa" w:w="3312"/>
            <w:vAlign w:val="center"/>
          </w:tcPr>
          <w:p>
            <w:pPr>
              <w:spacing w:after="40"/>
            </w:pPr>
            <w:r/>
            <w:r>
              <w:rPr>
                <w:rFonts w:ascii="Aptos" w:hAnsi="Aptos"/>
                <w:b w:val="0"/>
                <w:sz w:val="16"/>
              </w:rPr>
              <w:t>Start as an independent civic research project, not a party or campaign.</w:t>
            </w:r>
          </w:p>
        </w:tc>
        <w:tc>
          <w:tcPr>
            <w:tcW w:type="dxa" w:w="3312"/>
            <w:vAlign w:val="center"/>
          </w:tcPr>
          <w:p>
            <w:pPr>
              <w:spacing w:after="40"/>
            </w:pPr>
            <w:r/>
            <w:r>
              <w:rPr>
                <w:rFonts w:ascii="Aptos" w:hAnsi="Aptos"/>
                <w:b w:val="0"/>
                <w:sz w:val="16"/>
              </w:rPr>
              <w:t>Preserve civic utility and reduce pressure to reach partisan conclusions; revisit only through explicit governance process.</w:t>
            </w:r>
          </w:p>
        </w:tc>
      </w:tr>
      <w:tr>
        <w:tc>
          <w:tcPr>
            <w:tcW w:type="dxa" w:w="3312"/>
            <w:vAlign w:val="center"/>
          </w:tcPr>
          <w:p>
            <w:pPr>
              <w:spacing w:after="40"/>
            </w:pPr>
            <w:r/>
            <w:r>
              <w:rPr>
                <w:rFonts w:ascii="Aptos" w:hAnsi="Aptos"/>
                <w:b w:val="0"/>
                <w:sz w:val="16"/>
              </w:rPr>
              <w:t>D-002</w:t>
            </w:r>
          </w:p>
        </w:tc>
        <w:tc>
          <w:tcPr>
            <w:tcW w:type="dxa" w:w="3312"/>
            <w:vAlign w:val="center"/>
          </w:tcPr>
          <w:p>
            <w:pPr>
              <w:spacing w:after="40"/>
            </w:pPr>
            <w:r/>
            <w:r>
              <w:rPr>
                <w:rFonts w:ascii="Aptos" w:hAnsi="Aptos"/>
                <w:b w:val="0"/>
                <w:sz w:val="16"/>
              </w:rPr>
              <w:t>New Zealand first; international evidence is supporting context.</w:t>
            </w:r>
          </w:p>
        </w:tc>
        <w:tc>
          <w:tcPr>
            <w:tcW w:type="dxa" w:w="3312"/>
            <w:vAlign w:val="center"/>
          </w:tcPr>
          <w:p>
            <w:pPr>
              <w:spacing w:after="40"/>
            </w:pPr>
            <w:r/>
            <w:r>
              <w:rPr>
                <w:rFonts w:ascii="Aptos" w:hAnsi="Aptos"/>
                <w:b w:val="0"/>
                <w:sz w:val="16"/>
              </w:rPr>
              <w:t>Keeps law, institutions, population and implementation context specific.</w:t>
            </w:r>
          </w:p>
        </w:tc>
      </w:tr>
      <w:tr>
        <w:tc>
          <w:tcPr>
            <w:tcW w:type="dxa" w:w="3312"/>
            <w:vAlign w:val="center"/>
          </w:tcPr>
          <w:p>
            <w:pPr>
              <w:spacing w:after="40"/>
            </w:pPr>
            <w:r/>
            <w:r>
              <w:rPr>
                <w:rFonts w:ascii="Aptos" w:hAnsi="Aptos"/>
                <w:b w:val="0"/>
                <w:sz w:val="16"/>
              </w:rPr>
              <w:t>D-003</w:t>
            </w:r>
          </w:p>
        </w:tc>
        <w:tc>
          <w:tcPr>
            <w:tcW w:type="dxa" w:w="3312"/>
            <w:vAlign w:val="center"/>
          </w:tcPr>
          <w:p>
            <w:pPr>
              <w:spacing w:after="40"/>
            </w:pPr>
            <w:r/>
            <w:r>
              <w:rPr>
                <w:rFonts w:ascii="Aptos" w:hAnsi="Aptos"/>
                <w:b w:val="0"/>
                <w:sz w:val="16"/>
              </w:rPr>
              <w:t>AURA is initially a transparent checklist and decision record, not an automated scoring authority.</w:t>
            </w:r>
          </w:p>
        </w:tc>
        <w:tc>
          <w:tcPr>
            <w:tcW w:type="dxa" w:w="3312"/>
            <w:vAlign w:val="center"/>
          </w:tcPr>
          <w:p>
            <w:pPr>
              <w:spacing w:after="40"/>
            </w:pPr>
            <w:r/>
            <w:r>
              <w:rPr>
                <w:rFonts w:ascii="Aptos" w:hAnsi="Aptos"/>
                <w:b w:val="0"/>
                <w:sz w:val="16"/>
              </w:rPr>
              <w:t>Metrics are not yet operationally defined or validated.</w:t>
            </w:r>
          </w:p>
        </w:tc>
      </w:tr>
      <w:tr>
        <w:tc>
          <w:tcPr>
            <w:tcW w:type="dxa" w:w="3312"/>
            <w:vAlign w:val="center"/>
          </w:tcPr>
          <w:p>
            <w:pPr>
              <w:spacing w:after="40"/>
            </w:pPr>
            <w:r/>
            <w:r>
              <w:rPr>
                <w:rFonts w:ascii="Aptos" w:hAnsi="Aptos"/>
                <w:b w:val="0"/>
                <w:sz w:val="16"/>
              </w:rPr>
              <w:t>D-004</w:t>
            </w:r>
          </w:p>
        </w:tc>
        <w:tc>
          <w:tcPr>
            <w:tcW w:type="dxa" w:w="3312"/>
            <w:vAlign w:val="center"/>
          </w:tcPr>
          <w:p>
            <w:pPr>
              <w:spacing w:after="40"/>
            </w:pPr>
            <w:r/>
            <w:r>
              <w:rPr>
                <w:rFonts w:ascii="Aptos" w:hAnsi="Aptos"/>
                <w:b w:val="0"/>
                <w:sz w:val="16"/>
              </w:rPr>
              <w:t>CASCADE flags dependent claims for review rather than automatically rewriting them.</w:t>
            </w:r>
          </w:p>
        </w:tc>
        <w:tc>
          <w:tcPr>
            <w:tcW w:type="dxa" w:w="3312"/>
            <w:vAlign w:val="center"/>
          </w:tcPr>
          <w:p>
            <w:pPr>
              <w:spacing w:after="40"/>
            </w:pPr>
            <w:r/>
            <w:r>
              <w:rPr>
                <w:rFonts w:ascii="Aptos" w:hAnsi="Aptos"/>
                <w:b w:val="0"/>
                <w:sz w:val="16"/>
              </w:rPr>
              <w:t>Prevents error propagation and preserves human accountability.</w:t>
            </w:r>
          </w:p>
        </w:tc>
      </w:tr>
      <w:tr>
        <w:tc>
          <w:tcPr>
            <w:tcW w:type="dxa" w:w="3312"/>
            <w:vAlign w:val="center"/>
          </w:tcPr>
          <w:p>
            <w:pPr>
              <w:spacing w:after="40"/>
            </w:pPr>
            <w:r/>
            <w:r>
              <w:rPr>
                <w:rFonts w:ascii="Aptos" w:hAnsi="Aptos"/>
                <w:b w:val="0"/>
                <w:sz w:val="16"/>
              </w:rPr>
              <w:t>D-005</w:t>
            </w:r>
          </w:p>
        </w:tc>
        <w:tc>
          <w:tcPr>
            <w:tcW w:type="dxa" w:w="3312"/>
            <w:vAlign w:val="center"/>
          </w:tcPr>
          <w:p>
            <w:pPr>
              <w:spacing w:after="40"/>
            </w:pPr>
            <w:r/>
            <w:r>
              <w:rPr>
                <w:rFonts w:ascii="Aptos" w:hAnsi="Aptos"/>
                <w:b w:val="0"/>
                <w:sz w:val="16"/>
              </w:rPr>
              <w:t>Keep original PDF terminology and claims in a provenance ledger; add corrections as annotations, not silent edits.</w:t>
            </w:r>
          </w:p>
        </w:tc>
        <w:tc>
          <w:tcPr>
            <w:tcW w:type="dxa" w:w="3312"/>
            <w:vAlign w:val="center"/>
          </w:tcPr>
          <w:p>
            <w:pPr>
              <w:spacing w:after="40"/>
            </w:pPr>
            <w:r/>
            <w:r>
              <w:rPr>
                <w:rFonts w:ascii="Aptos" w:hAnsi="Aptos"/>
                <w:b w:val="0"/>
                <w:sz w:val="16"/>
              </w:rPr>
              <w:t>Protects historical integrity and makes development auditable.</w:t>
            </w:r>
          </w:p>
        </w:tc>
      </w:tr>
      <w:tr>
        <w:tc>
          <w:tcPr>
            <w:tcW w:type="dxa" w:w="3312"/>
            <w:vAlign w:val="center"/>
          </w:tcPr>
          <w:p>
            <w:pPr>
              <w:spacing w:after="40"/>
            </w:pPr>
            <w:r/>
            <w:r>
              <w:rPr>
                <w:rFonts w:ascii="Aptos" w:hAnsi="Aptos"/>
                <w:b w:val="0"/>
                <w:sz w:val="16"/>
              </w:rPr>
              <w:t>D-006</w:t>
            </w:r>
          </w:p>
        </w:tc>
        <w:tc>
          <w:tcPr>
            <w:tcW w:type="dxa" w:w="3312"/>
            <w:vAlign w:val="center"/>
          </w:tcPr>
          <w:p>
            <w:pPr>
              <w:spacing w:after="40"/>
            </w:pPr>
            <w:r/>
            <w:r>
              <w:rPr>
                <w:rFonts w:ascii="Aptos" w:hAnsi="Aptos"/>
                <w:b w:val="0"/>
                <w:sz w:val="16"/>
              </w:rPr>
              <w:t>Do not select the first policy case until the neutral scoping criteria are applied.</w:t>
            </w:r>
          </w:p>
        </w:tc>
        <w:tc>
          <w:tcPr>
            <w:tcW w:type="dxa" w:w="3312"/>
            <w:vAlign w:val="center"/>
          </w:tcPr>
          <w:p>
            <w:pPr>
              <w:spacing w:after="40"/>
            </w:pPr>
            <w:r/>
            <w:r>
              <w:rPr>
                <w:rFonts w:ascii="Aptos" w:hAnsi="Aptos"/>
                <w:b w:val="0"/>
                <w:sz w:val="16"/>
              </w:rPr>
              <w:t>Avoids confirmation bias and prevents the first use case from being chosen to validate the framework.</w:t>
            </w:r>
          </w:p>
        </w:tc>
      </w:tr>
      <w:tr>
        <w:tc>
          <w:tcPr>
            <w:tcW w:type="dxa" w:w="3312"/>
            <w:vAlign w:val="center"/>
          </w:tcPr>
          <w:p>
            <w:pPr>
              <w:spacing w:after="40"/>
            </w:pPr>
            <w:r/>
            <w:r>
              <w:rPr>
                <w:rFonts w:ascii="Aptos" w:hAnsi="Aptos"/>
                <w:b w:val="0"/>
                <w:sz w:val="16"/>
              </w:rPr>
              <w:t>D-007</w:t>
            </w:r>
          </w:p>
        </w:tc>
        <w:tc>
          <w:tcPr>
            <w:tcW w:type="dxa" w:w="3312"/>
            <w:vAlign w:val="center"/>
          </w:tcPr>
          <w:p>
            <w:pPr>
              <w:spacing w:after="40"/>
            </w:pPr>
            <w:r/>
            <w:r>
              <w:rPr>
                <w:rFonts w:ascii="Aptos" w:hAnsi="Aptos"/>
                <w:b w:val="0"/>
                <w:sz w:val="16"/>
              </w:rPr>
              <w:t>Publish methods and limitations alongside results.</w:t>
            </w:r>
          </w:p>
        </w:tc>
        <w:tc>
          <w:tcPr>
            <w:tcW w:type="dxa" w:w="3312"/>
            <w:vAlign w:val="center"/>
          </w:tcPr>
          <w:p>
            <w:pPr>
              <w:spacing w:after="40"/>
            </w:pPr>
            <w:r/>
            <w:r>
              <w:rPr>
                <w:rFonts w:ascii="Aptos" w:hAnsi="Aptos"/>
                <w:b w:val="0"/>
                <w:sz w:val="16"/>
              </w:rPr>
              <w:t>Credibility depends on reproducibility, not confidence of presentation.</w:t>
            </w:r>
          </w:p>
        </w:tc>
      </w:tr>
    </w:tbl>
    <w:p/>
    <w:p>
      <w:pPr>
        <w:pStyle w:val="Heading1"/>
      </w:pPr>
      <w:r>
        <w:t>13. Source register</w:t>
      </w:r>
    </w:p>
    <w:p>
      <w:pPr>
        <w:pStyle w:val="ListNumber"/>
        <w:spacing w:after="80"/>
      </w:pPr>
      <w:r>
        <w:t>[1] New Zealand Parliament. “The Legislative Process: Select Committee Consideration.” Parliamentary Practice in New Zealand, chapter 37, published 29 September 2023. https://www3.parliament.nz/en/visit-and-learn/how-parliament-works/parliamentary-practice-in-new-zealand-2023-by-chapter/chapter-37-the-legislative-process-select-committee-consideration/</w:t>
      </w:r>
    </w:p>
    <w:p>
      <w:pPr>
        <w:pStyle w:val="ListNumber"/>
        <w:spacing w:after="80"/>
      </w:pPr>
      <w:r>
        <w:t>[2] The Treasury New Zealand. “The Treasury’s CBAx Tool.” Current page; last updated 25 February 2026. https://www.treasury.govt.nz/information-and-services/public-sector-leadership/investment-management/investment-planning/treasurys-cbax-tool</w:t>
      </w:r>
    </w:p>
    <w:p>
      <w:pPr>
        <w:pStyle w:val="ListNumber"/>
        <w:spacing w:after="80"/>
      </w:pPr>
      <w:r>
        <w:t>[3] The Treasury New Zealand. “Our Living Standards Framework.” Describes the 2021 framework and its wellbeing, distributional, long-term, cultural and te ao Māori / Pacific considerations. https://www.treasury.govt.nz/information-and-services/nz-economy/higher-living-standards/our-living-standards-framework</w:t>
      </w:r>
    </w:p>
    <w:p>
      <w:pPr>
        <w:pStyle w:val="ListNumber"/>
        <w:spacing w:after="80"/>
      </w:pPr>
      <w:r>
        <w:t>[4] Public Service Commission Te Kawa Mataaho. “Political Neutrality” and “Our Standards.” Official guidance on political neutrality, impartiality, conflicts and public-service integrity. https://www.publicservice.govt.nz/guidance/the-code-of-conduct-for-the-public-sector/our-principles/political-neutrality and https://www.publicservice.govt.nz/guidance/the-code-of-conduct-for-the-public-sector/our-standards</w:t>
      </w:r>
    </w:p>
    <w:p>
      <w:pPr>
        <w:pStyle w:val="ListNumber"/>
        <w:spacing w:after="80"/>
      </w:pPr>
      <w:r>
        <w:t>[5] Parliamentary Commissioner for the Environment. “The Commissioner.” Describes the independent Officer of Parliament role and environmental reporting mandate. https://pce.parliament.nz/about-us/the-commissioner/</w:t>
      </w:r>
    </w:p>
    <w:p>
      <w:pPr>
        <w:pStyle w:val="ListNumber"/>
        <w:spacing w:after="80"/>
      </w:pPr>
      <w:r>
        <w:t>[6] OECD (2020). Building Capacity for Evidence-Informed Policy-Making: Lessons from Country Experiences. OECD Public Governance Reviews. https://doi.org/10.1787/86331250-en</w:t>
      </w:r>
    </w:p>
    <w:p>
      <w:pPr>
        <w:pStyle w:val="ListNumber"/>
        <w:spacing w:after="80"/>
      </w:pPr>
      <w:r>
        <w:t>[7] OECD (2020). Mobilising Evidence for Good Governance: Taking Stock of Principles and Standards for Policy Design, Implementation and Evaluation. OECD Public Governance Reviews. https://doi.org/10.1787/3f6f736b-en</w:t>
      </w:r>
    </w:p>
    <w:p>
      <w:pPr>
        <w:pStyle w:val="ListNumber"/>
        <w:spacing w:after="80"/>
      </w:pPr>
      <w:r>
        <w:t>[8] Electoral Commission New Zealand. “Key dates for 2026 General Election.” Published 21 January 2026; election scheduled for 7 November 2026, advance voting begins 26 October and enrolment deadline is 25 October. https://elections.nz/media-and-news/2026/key-dates-for-2026-general-election</w:t>
      </w:r>
    </w:p>
    <w:p>
      <w:pPr>
        <w:pStyle w:val="ListNumber"/>
        <w:spacing w:after="80"/>
      </w:pPr>
      <w:r>
        <w:t>[9] Department of the Prime Minister and Cabinet. “Information held by government,” Cabinet Manual section 8. Includes guidance on proactive release of official information and Cabinet material. https://www.dpmc.govt.nz/our-business-units/cabinet-office/supporting-work-cabinet/cabinet-manual/8-official-information-and-public-records/information-held-government</w:t>
      </w:r>
    </w:p>
    <w:p>
      <w:pPr>
        <w:pStyle w:val="ListNumber"/>
        <w:spacing w:after="80"/>
      </w:pPr>
      <w:r>
        <w:t>[10] OECD (2017). Trust and Public Policy: How Better Governance Can Help Rebuild Public Trust. OECD Public Governance Reviews. https://doi.org/10.1787/9789264268920-en</w:t>
      </w:r>
    </w:p>
    <w:p>
      <w:pPr>
        <w:pStyle w:val="ListNumber"/>
        <w:spacing w:after="80"/>
      </w:pPr>
      <w:r>
        <w:t>Primary project source: “Anon Politician.pdf,” 62-page transcript labelled “Conversation with Gemini,” supplied in this conversation on 14 October 2026. Internal provenance reference; no public URL asserted.</w:t>
      </w:r>
    </w:p>
    <w:p>
      <w:pPr>
        <w:pStyle w:val="Heading1"/>
      </w:pPr>
      <w:r>
        <w:t>14. Closing statement</w:t>
      </w:r>
    </w:p>
    <w:p>
      <w:r>
        <w:t>Anon Politician should begin with a modest but demanding promise: every important claim will be traceable; every value choice will be visible; every major conclusion will have a path to challenge; and every failure will be eligible for publication. The project does not need to prove that one architecture can solve politics. It needs to discover, carefully and publicly, whether these tools help people reason about real public decisions better than the alternatives.</w:t>
      </w:r>
    </w:p>
    <w:p>
      <w:r>
        <w:t>The first success condition is not a high coherence score. It is a research process that catches its own overclaims, protects people from avoidable harm, represents disagreement fairly, and produces work another person can check.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ANON POLITICIAN • Founding Research Dossier v0.1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