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p>
    <w:p>
      <w:pPr>
        <w:pStyle w:val="Title"/>
      </w:pPr>
      <w:r>
        <w:t>Anon Politician</w:t>
      </w:r>
    </w:p>
    <w:p>
      <w:pPr>
        <w:spacing w:after="80"/>
      </w:pPr>
      <w:r>
        <w:rPr>
          <w:b/>
          <w:color w:val="007F86"/>
          <w:sz w:val="34"/>
        </w:rPr>
        <w:t>Source Fidelity &amp; Independent Evidence Audit</w:t>
      </w:r>
    </w:p>
    <w:p>
      <w:r>
        <w:rPr>
          <w:color w:val="5A646E"/>
          <w:sz w:val="20"/>
        </w:rPr>
        <w:t>Working paper v0.3  |  14 October 2026  |  Scope: New Zealand, with international evidence where useful</w:t>
      </w:r>
    </w:p>
    <w:p/>
    <w:p>
      <w:pPr>
        <w:spacing w:before="520"/>
      </w:pPr>
      <w:r>
        <w:rPr>
          <w:b/>
          <w:sz w:val="24"/>
        </w:rPr>
        <w:t>Purpose</w:t>
      </w:r>
    </w:p>
    <w:p>
      <w:r>
        <w:t>This audit separates what the original 62-page “Anon Politician.pdf” transcript says from what independent sources currently support, what remains untested, and what the first implementation should do next. Page locators refer to the PDF page numbers in the supplied file, not any inferred printed pagination.</w:t>
      </w:r>
    </w:p>
    <w:p>
      <w:pPr>
        <w:spacing w:before="240"/>
      </w:pPr>
      <w:r>
        <w:rPr>
          <w:b/>
          <w:color w:val="007F86"/>
          <w:sz w:val="24"/>
        </w:rPr>
        <w:t>Core finding</w:t>
      </w:r>
    </w:p>
    <w:p>
      <w:r>
        <w:t>The source contains a useful research direction—provenance-aware claims linked by dependencies and reconsidered when upstream evidence changes—but the transcript does not establish that AURA’s metrics, CASCADE’s cascade rule, or the reported 0.98 score are valid or beneficial. The original demonstration mostly encodes a preselected normative conclusion and then reports the expected reclassification as validation.</w:t>
      </w:r>
    </w:p>
    <w:p>
      <w:pPr>
        <w:spacing w:before="240"/>
      </w:pPr>
      <w:r>
        <w:rPr>
          <w:b/>
        </w:rPr>
        <w:t xml:space="preserve">Status label: </w:t>
      </w:r>
      <w:r>
        <w:rPr>
          <w:i/>
        </w:rPr>
        <w:t>research prototype and historical source record; not a validated decision system.</w:t>
      </w:r>
    </w:p>
    <w:p>
      <w:r>
        <w:br w:type="page"/>
      </w:r>
    </w:p>
    <w:p>
      <w:pPr>
        <w:pStyle w:val="Heading1"/>
      </w:pPr>
      <w:r>
        <w:t>1. Executive assessment</w:t>
      </w:r>
    </w:p>
    <w:p>
      <w:r>
        <w:t>The original transcript has two different kinds of value. First, it preserves a distinctive design vocabulary: AURA, Pyramid Cascade Architecture/System, Foundation / Theory / Edge, KnowledgeBlock, Trust Entropy, Value-Transfer Ratio, Purpose Alignment Index, Vector Inversion Protocol and DEEP. Second, it records a proposed demonstration. The latter must not be confused with independent validation.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04"/>
            <w:vAlign w:val="center"/>
            <w:shd w:fill="16324F"/>
          </w:tcPr>
          <w:p>
            <w:pPr>
              <w:spacing w:after="20" w:before="20"/>
            </w:pPr>
            <w:r/>
            <w:r>
              <w:rPr>
                <w:rFonts w:ascii="Aptos" w:hAnsi="Aptos"/>
                <w:b/>
                <w:color w:val="FFFFFF"/>
                <w:sz w:val="16"/>
              </w:rPr>
              <w:t>Question</w:t>
            </w:r>
          </w:p>
        </w:tc>
        <w:tc>
          <w:tcPr>
            <w:tcW w:type="dxa" w:w="2592"/>
            <w:vAlign w:val="center"/>
            <w:shd w:fill="16324F"/>
          </w:tcPr>
          <w:p>
            <w:pPr>
              <w:spacing w:after="20" w:before="20"/>
            </w:pPr>
            <w:r/>
            <w:r>
              <w:rPr>
                <w:rFonts w:ascii="Aptos" w:hAnsi="Aptos"/>
                <w:b/>
                <w:color w:val="FFFFFF"/>
                <w:sz w:val="16"/>
              </w:rPr>
              <w:t>Audit assessment</w:t>
            </w:r>
          </w:p>
        </w:tc>
        <w:tc>
          <w:tcPr>
            <w:tcW w:type="dxa" w:w="5040"/>
            <w:vAlign w:val="center"/>
            <w:shd w:fill="16324F"/>
          </w:tcPr>
          <w:p>
            <w:pPr>
              <w:spacing w:after="20" w:before="20"/>
            </w:pPr>
            <w:r/>
            <w:r>
              <w:rPr>
                <w:rFonts w:ascii="Aptos" w:hAnsi="Aptos"/>
                <w:b/>
                <w:color w:val="FFFFFF"/>
                <w:sz w:val="16"/>
              </w:rPr>
              <w:t>Reason</w:t>
            </w:r>
          </w:p>
        </w:tc>
      </w:tr>
      <w:tr>
        <w:trPr>
          <w:cantSplit/>
        </w:trPr>
        <w:tc>
          <w:tcPr>
            <w:tcW w:type="dxa" w:w="2304"/>
            <w:vAlign w:val="center"/>
          </w:tcPr>
          <w:p>
            <w:pPr>
              <w:spacing w:after="20" w:before="20"/>
            </w:pPr>
            <w:r/>
            <w:r>
              <w:rPr>
                <w:rFonts w:ascii="Aptos" w:hAnsi="Aptos"/>
                <w:b w:val="0"/>
                <w:sz w:val="16"/>
              </w:rPr>
              <w:t>Does the transcript record a cascade?</w:t>
            </w:r>
          </w:p>
        </w:tc>
        <w:tc>
          <w:tcPr>
            <w:tcW w:type="dxa" w:w="2592"/>
            <w:vAlign w:val="center"/>
          </w:tcPr>
          <w:p>
            <w:pPr>
              <w:spacing w:after="20" w:before="20"/>
            </w:pPr>
            <w:r/>
            <w:r>
              <w:rPr>
                <w:rFonts w:ascii="Aptos" w:hAnsi="Aptos"/>
                <w:b w:val="0"/>
                <w:sz w:val="16"/>
              </w:rPr>
              <w:t>Yes, as a described conversation/state transition.</w:t>
            </w:r>
          </w:p>
        </w:tc>
        <w:tc>
          <w:tcPr>
            <w:tcW w:type="dxa" w:w="5040"/>
            <w:vAlign w:val="center"/>
          </w:tcPr>
          <w:p>
            <w:pPr>
              <w:spacing w:after="20" w:before="20"/>
            </w:pPr>
            <w:r/>
            <w:r>
              <w:rPr>
                <w:rFonts w:ascii="Aptos" w:hAnsi="Aptos"/>
                <w:b w:val="0"/>
                <w:sz w:val="16"/>
              </w:rPr>
              <w:t>Pages 23-25 and 27-30 describe T_002 being archived and T_001 strengthened.</w:t>
            </w:r>
          </w:p>
        </w:tc>
      </w:tr>
      <w:tr>
        <w:trPr>
          <w:cantSplit/>
        </w:trPr>
        <w:tc>
          <w:tcPr>
            <w:tcW w:type="dxa" w:w="2304"/>
            <w:vAlign w:val="center"/>
            <w:shd w:fill="F1F5F9"/>
          </w:tcPr>
          <w:p>
            <w:pPr>
              <w:spacing w:after="20" w:before="20"/>
            </w:pPr>
            <w:r/>
            <w:r>
              <w:rPr>
                <w:rFonts w:ascii="Aptos" w:hAnsi="Aptos"/>
                <w:b w:val="0"/>
                <w:sz w:val="16"/>
              </w:rPr>
              <w:t>Does it show discovery of a new truth?</w:t>
            </w:r>
          </w:p>
        </w:tc>
        <w:tc>
          <w:tcPr>
            <w:tcW w:type="dxa" w:w="2592"/>
            <w:vAlign w:val="center"/>
            <w:shd w:fill="F1F5F9"/>
          </w:tcPr>
          <w:p>
            <w:pPr>
              <w:spacing w:after="20" w:before="20"/>
            </w:pPr>
            <w:r/>
            <w:r>
              <w:rPr>
                <w:rFonts w:ascii="Aptos" w:hAnsi="Aptos"/>
                <w:b w:val="0"/>
                <w:sz w:val="16"/>
              </w:rPr>
              <w:t>Not demonstrated.</w:t>
            </w:r>
          </w:p>
        </w:tc>
        <w:tc>
          <w:tcPr>
            <w:tcW w:type="dxa" w:w="5040"/>
            <w:vAlign w:val="center"/>
            <w:shd w:fill="F1F5F9"/>
          </w:tcPr>
          <w:p>
            <w:pPr>
              <w:spacing w:after="20" w:before="20"/>
            </w:pPr>
            <w:r/>
            <w:r>
              <w:rPr>
                <w:rFonts w:ascii="Aptos" w:hAnsi="Aptos"/>
                <w:b w:val="0"/>
                <w:sz w:val="16"/>
              </w:rPr>
              <w:t>F_004 is deliberately worded to invalidate T_002 before the metrics are applied (pp. 22-24).</w:t>
            </w:r>
          </w:p>
        </w:tc>
      </w:tr>
      <w:tr>
        <w:trPr>
          <w:cantSplit/>
        </w:trPr>
        <w:tc>
          <w:tcPr>
            <w:tcW w:type="dxa" w:w="2304"/>
            <w:vAlign w:val="center"/>
          </w:tcPr>
          <w:p>
            <w:pPr>
              <w:spacing w:after="20" w:before="20"/>
            </w:pPr>
            <w:r/>
            <w:r>
              <w:rPr>
                <w:rFonts w:ascii="Aptos" w:hAnsi="Aptos"/>
                <w:b w:val="0"/>
                <w:sz w:val="16"/>
              </w:rPr>
              <w:t>Is the 0.98 score reproducible?</w:t>
            </w:r>
          </w:p>
        </w:tc>
        <w:tc>
          <w:tcPr>
            <w:tcW w:type="dxa" w:w="2592"/>
            <w:vAlign w:val="center"/>
          </w:tcPr>
          <w:p>
            <w:pPr>
              <w:spacing w:after="20" w:before="20"/>
            </w:pPr>
            <w:r/>
            <w:r>
              <w:rPr>
                <w:rFonts w:ascii="Aptos" w:hAnsi="Aptos"/>
                <w:b w:val="0"/>
                <w:sz w:val="16"/>
              </w:rPr>
              <w:t>Not from the supplied source record.</w:t>
            </w:r>
          </w:p>
        </w:tc>
        <w:tc>
          <w:tcPr>
            <w:tcW w:type="dxa" w:w="5040"/>
            <w:vAlign w:val="center"/>
          </w:tcPr>
          <w:p>
            <w:pPr>
              <w:spacing w:after="20" w:before="20"/>
            </w:pPr>
            <w:r/>
            <w:r>
              <w:rPr>
                <w:rFonts w:ascii="Aptos" w:hAnsi="Aptos"/>
                <w:b w:val="0"/>
                <w:sz w:val="16"/>
              </w:rPr>
              <w:t>No formula, labelled data, baseline, uncertainty or independent scoring is given (p. 29).</w:t>
            </w:r>
          </w:p>
        </w:tc>
      </w:tr>
      <w:tr>
        <w:trPr>
          <w:cantSplit/>
        </w:trPr>
        <w:tc>
          <w:tcPr>
            <w:tcW w:type="dxa" w:w="2304"/>
            <w:vAlign w:val="center"/>
            <w:shd w:fill="F1F5F9"/>
          </w:tcPr>
          <w:p>
            <w:pPr>
              <w:spacing w:after="20" w:before="20"/>
            </w:pPr>
            <w:r/>
            <w:r>
              <w:rPr>
                <w:rFonts w:ascii="Aptos" w:hAnsi="Aptos"/>
                <w:b w:val="0"/>
                <w:sz w:val="16"/>
              </w:rPr>
              <w:t>Are AURA metrics quantitatively usable now?</w:t>
            </w:r>
          </w:p>
        </w:tc>
        <w:tc>
          <w:tcPr>
            <w:tcW w:type="dxa" w:w="2592"/>
            <w:vAlign w:val="center"/>
            <w:shd w:fill="F1F5F9"/>
          </w:tcPr>
          <w:p>
            <w:pPr>
              <w:spacing w:after="20" w:before="20"/>
            </w:pPr>
            <w:r/>
            <w:r>
              <w:rPr>
                <w:rFonts w:ascii="Aptos" w:hAnsi="Aptos"/>
                <w:b w:val="0"/>
                <w:sz w:val="16"/>
              </w:rPr>
              <w:t>Not yet.</w:t>
            </w:r>
          </w:p>
        </w:tc>
        <w:tc>
          <w:tcPr>
            <w:tcW w:type="dxa" w:w="5040"/>
            <w:vAlign w:val="center"/>
            <w:shd w:fill="F1F5F9"/>
          </w:tcPr>
          <w:p>
            <w:pPr>
              <w:spacing w:after="20" w:before="20"/>
            </w:pPr>
            <w:r/>
            <w:r>
              <w:rPr>
                <w:rFonts w:ascii="Aptos" w:hAnsi="Aptos"/>
                <w:b w:val="0"/>
                <w:sz w:val="16"/>
              </w:rPr>
              <w:t>Threshold examples are mentioned (pp. 9-10), but the reported political-run judgements do not include formulas or input calculations (pp. 23-24).</w:t>
            </w:r>
          </w:p>
        </w:tc>
      </w:tr>
      <w:tr>
        <w:trPr>
          <w:cantSplit/>
        </w:trPr>
        <w:tc>
          <w:tcPr>
            <w:tcW w:type="dxa" w:w="2304"/>
            <w:vAlign w:val="center"/>
          </w:tcPr>
          <w:p>
            <w:pPr>
              <w:spacing w:after="20" w:before="20"/>
            </w:pPr>
            <w:r/>
            <w:r>
              <w:rPr>
                <w:rFonts w:ascii="Aptos" w:hAnsi="Aptos"/>
                <w:b w:val="0"/>
                <w:sz w:val="16"/>
              </w:rPr>
              <w:t>Is T_001 established as true?</w:t>
            </w:r>
          </w:p>
        </w:tc>
        <w:tc>
          <w:tcPr>
            <w:tcW w:type="dxa" w:w="2592"/>
            <w:vAlign w:val="center"/>
          </w:tcPr>
          <w:p>
            <w:pPr>
              <w:spacing w:after="20" w:before="20"/>
            </w:pPr>
            <w:r/>
            <w:r>
              <w:rPr>
                <w:rFonts w:ascii="Aptos" w:hAnsi="Aptos"/>
                <w:b w:val="0"/>
                <w:sz w:val="16"/>
              </w:rPr>
              <w:t>No; it is too broad and under-specified.</w:t>
            </w:r>
          </w:p>
        </w:tc>
        <w:tc>
          <w:tcPr>
            <w:tcW w:type="dxa" w:w="5040"/>
            <w:vAlign w:val="center"/>
          </w:tcPr>
          <w:p>
            <w:pPr>
              <w:spacing w:after="20" w:before="20"/>
            </w:pPr>
            <w:r/>
            <w:r>
              <w:rPr>
                <w:rFonts w:ascii="Aptos" w:hAnsi="Aptos"/>
                <w:b w:val="0"/>
                <w:sz w:val="16"/>
              </w:rPr>
              <w:t>Independent literature indicates context-dependent and mixed findings for narrower employee-ownership outcomes.</w:t>
            </w:r>
          </w:p>
        </w:tc>
      </w:tr>
      <w:tr>
        <w:trPr>
          <w:cantSplit/>
        </w:trPr>
        <w:tc>
          <w:tcPr>
            <w:tcW w:type="dxa" w:w="2304"/>
            <w:vAlign w:val="center"/>
            <w:shd w:fill="F1F5F9"/>
          </w:tcPr>
          <w:p>
            <w:pPr>
              <w:spacing w:after="20" w:before="20"/>
            </w:pPr>
            <w:r/>
            <w:r>
              <w:rPr>
                <w:rFonts w:ascii="Aptos" w:hAnsi="Aptos"/>
                <w:b w:val="0"/>
                <w:sz w:val="16"/>
              </w:rPr>
              <w:t>Is DEEP an established external protocol?</w:t>
            </w:r>
          </w:p>
        </w:tc>
        <w:tc>
          <w:tcPr>
            <w:tcW w:type="dxa" w:w="2592"/>
            <w:vAlign w:val="center"/>
            <w:shd w:fill="F1F5F9"/>
          </w:tcPr>
          <w:p>
            <w:pPr>
              <w:spacing w:after="20" w:before="20"/>
            </w:pPr>
            <w:r/>
            <w:r>
              <w:rPr>
                <w:rFonts w:ascii="Aptos" w:hAnsi="Aptos"/>
                <w:b w:val="0"/>
                <w:sz w:val="16"/>
              </w:rPr>
              <w:t>Not verified in this audit.</w:t>
            </w:r>
          </w:p>
        </w:tc>
        <w:tc>
          <w:tcPr>
            <w:tcW w:type="dxa" w:w="5040"/>
            <w:vAlign w:val="center"/>
            <w:shd w:fill="F1F5F9"/>
          </w:tcPr>
          <w:p>
            <w:pPr>
              <w:spacing w:after="20" w:before="20"/>
            </w:pPr>
            <w:r/>
            <w:r>
              <w:rPr>
                <w:rFonts w:ascii="Aptos" w:hAnsi="Aptos"/>
                <w:b w:val="0"/>
                <w:sz w:val="16"/>
              </w:rPr>
              <w:t>The relevant transcript pages name it but provide no retrievable primary source; an established comparator exists in UN SEEA Ecosystem Accounting.</w:t>
            </w:r>
          </w:p>
        </w:tc>
      </w:tr>
    </w:tbl>
    <w:p/>
    <w:p>
      <w:pPr>
        <w:pStyle w:val="Heading1"/>
      </w:pPr>
      <w:r>
        <w:t>2. What the original source actually says</w:t>
      </w:r>
    </w:p>
    <w:p>
      <w:r>
        <w:t>The following locators and classifications are source-derived. They describe the transcript and do not themselves certify its claims.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1080"/>
            <w:vAlign w:val="center"/>
            <w:shd w:fill="16324F"/>
          </w:tcPr>
          <w:p>
            <w:pPr>
              <w:spacing w:after="20" w:before="20"/>
            </w:pPr>
            <w:r/>
            <w:r>
              <w:rPr>
                <w:rFonts w:ascii="Aptos" w:hAnsi="Aptos"/>
                <w:b/>
                <w:color w:val="FFFFFF"/>
                <w:sz w:val="16"/>
              </w:rPr>
              <w:t>PDF page(s)</w:t>
            </w:r>
          </w:p>
        </w:tc>
        <w:tc>
          <w:tcPr>
            <w:tcW w:type="dxa" w:w="1584"/>
            <w:vAlign w:val="center"/>
            <w:shd w:fill="16324F"/>
          </w:tcPr>
          <w:p>
            <w:pPr>
              <w:spacing w:after="20" w:before="20"/>
            </w:pPr>
            <w:r/>
            <w:r>
              <w:rPr>
                <w:rFonts w:ascii="Aptos" w:hAnsi="Aptos"/>
                <w:b/>
                <w:color w:val="FFFFFF"/>
                <w:sz w:val="16"/>
              </w:rPr>
              <w:t>Original term</w:t>
            </w:r>
          </w:p>
        </w:tc>
        <w:tc>
          <w:tcPr>
            <w:tcW w:type="dxa" w:w="5184"/>
            <w:vAlign w:val="center"/>
            <w:shd w:fill="16324F"/>
          </w:tcPr>
          <w:p>
            <w:pPr>
              <w:spacing w:after="20" w:before="20"/>
            </w:pPr>
            <w:r/>
            <w:r>
              <w:rPr>
                <w:rFonts w:ascii="Aptos" w:hAnsi="Aptos"/>
                <w:b/>
                <w:color w:val="FFFFFF"/>
                <w:sz w:val="16"/>
              </w:rPr>
              <w:t>Source content</w:t>
            </w:r>
          </w:p>
        </w:tc>
        <w:tc>
          <w:tcPr>
            <w:tcW w:type="dxa" w:w="2160"/>
            <w:vAlign w:val="center"/>
            <w:shd w:fill="16324F"/>
          </w:tcPr>
          <w:p>
            <w:pPr>
              <w:spacing w:after="20" w:before="20"/>
            </w:pPr>
            <w:r/>
            <w:r>
              <w:rPr>
                <w:rFonts w:ascii="Aptos" w:hAnsi="Aptos"/>
                <w:b/>
                <w:color w:val="FFFFFF"/>
                <w:sz w:val="16"/>
              </w:rPr>
              <w:t>Initial classification</w:t>
            </w:r>
          </w:p>
        </w:tc>
      </w:tr>
      <w:tr>
        <w:trPr>
          <w:cantSplit/>
        </w:trPr>
        <w:tc>
          <w:tcPr>
            <w:tcW w:type="dxa" w:w="1080"/>
            <w:vAlign w:val="center"/>
          </w:tcPr>
          <w:p>
            <w:pPr>
              <w:spacing w:after="20" w:before="20"/>
            </w:pPr>
            <w:r/>
            <w:r>
              <w:rPr>
                <w:rFonts w:ascii="Aptos" w:hAnsi="Aptos"/>
                <w:b w:val="0"/>
                <w:sz w:val="16"/>
              </w:rPr>
              <w:t>17</w:t>
            </w:r>
          </w:p>
        </w:tc>
        <w:tc>
          <w:tcPr>
            <w:tcW w:type="dxa" w:w="1584"/>
            <w:vAlign w:val="center"/>
          </w:tcPr>
          <w:p>
            <w:pPr>
              <w:spacing w:after="20" w:before="20"/>
            </w:pPr>
            <w:r/>
            <w:r>
              <w:rPr>
                <w:rFonts w:ascii="Aptos" w:hAnsi="Aptos"/>
                <w:b w:val="0"/>
                <w:sz w:val="16"/>
              </w:rPr>
              <w:t>F_001</w:t>
            </w:r>
          </w:p>
        </w:tc>
        <w:tc>
          <w:tcPr>
            <w:tcW w:type="dxa" w:w="5184"/>
            <w:vAlign w:val="center"/>
          </w:tcPr>
          <w:p>
            <w:pPr>
              <w:spacing w:after="20" w:before="20"/>
            </w:pPr>
            <w:r/>
            <w:r>
              <w:rPr>
                <w:rFonts w:ascii="Aptos" w:hAnsi="Aptos"/>
                <w:b w:val="0"/>
                <w:sz w:val="16"/>
              </w:rPr>
              <w:t>Individual well-being, intrinsic dignity and sovereignty as the ultimate measure of a just system.</w:t>
            </w:r>
          </w:p>
        </w:tc>
        <w:tc>
          <w:tcPr>
            <w:tcW w:type="dxa" w:w="2160"/>
            <w:vAlign w:val="center"/>
          </w:tcPr>
          <w:p>
            <w:pPr>
              <w:spacing w:after="20" w:before="20"/>
            </w:pPr>
            <w:r/>
            <w:r>
              <w:rPr>
                <w:rFonts w:ascii="Aptos" w:hAnsi="Aptos"/>
                <w:b w:val="0"/>
                <w:sz w:val="16"/>
              </w:rPr>
              <w:t>Normative commitment</w:t>
            </w:r>
          </w:p>
        </w:tc>
      </w:tr>
      <w:tr>
        <w:trPr>
          <w:cantSplit/>
        </w:trPr>
        <w:tc>
          <w:tcPr>
            <w:tcW w:type="dxa" w:w="1080"/>
            <w:vAlign w:val="center"/>
            <w:shd w:fill="F1F5F9"/>
          </w:tcPr>
          <w:p>
            <w:pPr>
              <w:spacing w:after="20" w:before="20"/>
            </w:pPr>
            <w:r/>
            <w:r>
              <w:rPr>
                <w:rFonts w:ascii="Aptos" w:hAnsi="Aptos"/>
                <w:b w:val="0"/>
                <w:sz w:val="16"/>
              </w:rPr>
              <w:t>17</w:t>
            </w:r>
          </w:p>
        </w:tc>
        <w:tc>
          <w:tcPr>
            <w:tcW w:type="dxa" w:w="1584"/>
            <w:vAlign w:val="center"/>
            <w:shd w:fill="F1F5F9"/>
          </w:tcPr>
          <w:p>
            <w:pPr>
              <w:spacing w:after="20" w:before="20"/>
            </w:pPr>
            <w:r/>
            <w:r>
              <w:rPr>
                <w:rFonts w:ascii="Aptos" w:hAnsi="Aptos"/>
                <w:b w:val="0"/>
                <w:sz w:val="16"/>
              </w:rPr>
              <w:t>F_002</w:t>
            </w:r>
          </w:p>
        </w:tc>
        <w:tc>
          <w:tcPr>
            <w:tcW w:type="dxa" w:w="5184"/>
            <w:vAlign w:val="center"/>
            <w:shd w:fill="F1F5F9"/>
          </w:tcPr>
          <w:p>
            <w:pPr>
              <w:spacing w:after="20" w:before="20"/>
            </w:pPr>
            <w:r/>
            <w:r>
              <w:rPr>
                <w:rFonts w:ascii="Aptos" w:hAnsi="Aptos"/>
                <w:b w:val="0"/>
                <w:sz w:val="16"/>
              </w:rPr>
              <w:t>Prioritise predictive accuracy over narrative comfort and self-correct when verifiable truths emerge.</w:t>
            </w:r>
          </w:p>
        </w:tc>
        <w:tc>
          <w:tcPr>
            <w:tcW w:type="dxa" w:w="2160"/>
            <w:vAlign w:val="center"/>
            <w:shd w:fill="F1F5F9"/>
          </w:tcPr>
          <w:p>
            <w:pPr>
              <w:spacing w:after="20" w:before="20"/>
            </w:pPr>
            <w:r/>
            <w:r>
              <w:rPr>
                <w:rFonts w:ascii="Aptos" w:hAnsi="Aptos"/>
                <w:b w:val="0"/>
                <w:sz w:val="16"/>
              </w:rPr>
              <w:t>Methodological and normative commitment</w:t>
            </w:r>
          </w:p>
        </w:tc>
      </w:tr>
      <w:tr>
        <w:trPr>
          <w:cantSplit/>
        </w:trPr>
        <w:tc>
          <w:tcPr>
            <w:tcW w:type="dxa" w:w="1080"/>
            <w:vAlign w:val="center"/>
          </w:tcPr>
          <w:p>
            <w:pPr>
              <w:spacing w:after="20" w:before="20"/>
            </w:pPr>
            <w:r/>
            <w:r>
              <w:rPr>
                <w:rFonts w:ascii="Aptos" w:hAnsi="Aptos"/>
                <w:b w:val="0"/>
                <w:sz w:val="16"/>
              </w:rPr>
              <w:t>18</w:t>
            </w:r>
          </w:p>
        </w:tc>
        <w:tc>
          <w:tcPr>
            <w:tcW w:type="dxa" w:w="1584"/>
            <w:vAlign w:val="center"/>
          </w:tcPr>
          <w:p>
            <w:pPr>
              <w:spacing w:after="20" w:before="20"/>
            </w:pPr>
            <w:r/>
            <w:r>
              <w:rPr>
                <w:rFonts w:ascii="Aptos" w:hAnsi="Aptos"/>
                <w:b w:val="0"/>
                <w:sz w:val="16"/>
              </w:rPr>
              <w:t>F_003</w:t>
            </w:r>
          </w:p>
        </w:tc>
        <w:tc>
          <w:tcPr>
            <w:tcW w:type="dxa" w:w="5184"/>
            <w:vAlign w:val="center"/>
          </w:tcPr>
          <w:p>
            <w:pPr>
              <w:spacing w:after="20" w:before="20"/>
            </w:pPr>
            <w:r/>
            <w:r>
              <w:rPr>
                <w:rFonts w:ascii="Aptos" w:hAnsi="Aptos"/>
                <w:b w:val="0"/>
                <w:sz w:val="16"/>
              </w:rPr>
              <w:t>Maximise net positive human and ecological flourishing.</w:t>
            </w:r>
          </w:p>
        </w:tc>
        <w:tc>
          <w:tcPr>
            <w:tcW w:type="dxa" w:w="2160"/>
            <w:vAlign w:val="center"/>
          </w:tcPr>
          <w:p>
            <w:pPr>
              <w:spacing w:after="20" w:before="20"/>
            </w:pPr>
            <w:r/>
            <w:r>
              <w:rPr>
                <w:rFonts w:ascii="Aptos" w:hAnsi="Aptos"/>
                <w:b w:val="0"/>
                <w:sz w:val="16"/>
              </w:rPr>
              <w:t>Normative commitment</w:t>
            </w:r>
          </w:p>
        </w:tc>
      </w:tr>
      <w:tr>
        <w:trPr>
          <w:cantSplit/>
        </w:trPr>
        <w:tc>
          <w:tcPr>
            <w:tcW w:type="dxa" w:w="1080"/>
            <w:vAlign w:val="center"/>
            <w:shd w:fill="F1F5F9"/>
          </w:tcPr>
          <w:p>
            <w:pPr>
              <w:spacing w:after="20" w:before="20"/>
            </w:pPr>
            <w:r/>
            <w:r>
              <w:rPr>
                <w:rFonts w:ascii="Aptos" w:hAnsi="Aptos"/>
                <w:b w:val="0"/>
                <w:sz w:val="16"/>
              </w:rPr>
              <w:t>19</w:t>
            </w:r>
          </w:p>
        </w:tc>
        <w:tc>
          <w:tcPr>
            <w:tcW w:type="dxa" w:w="1584"/>
            <w:vAlign w:val="center"/>
            <w:shd w:fill="F1F5F9"/>
          </w:tcPr>
          <w:p>
            <w:pPr>
              <w:spacing w:after="20" w:before="20"/>
            </w:pPr>
            <w:r/>
            <w:r>
              <w:rPr>
                <w:rFonts w:ascii="Aptos" w:hAnsi="Aptos"/>
                <w:b w:val="0"/>
                <w:sz w:val="16"/>
              </w:rPr>
              <w:t>T_001</w:t>
            </w:r>
          </w:p>
        </w:tc>
        <w:tc>
          <w:tcPr>
            <w:tcW w:type="dxa" w:w="5184"/>
            <w:vAlign w:val="center"/>
            <w:shd w:fill="F1F5F9"/>
          </w:tcPr>
          <w:p>
            <w:pPr>
              <w:spacing w:after="20" w:before="20"/>
            </w:pPr>
            <w:r/>
            <w:r>
              <w:rPr>
                <w:rFonts w:ascii="Aptos" w:hAnsi="Aptos"/>
                <w:b w:val="0"/>
                <w:sz w:val="16"/>
              </w:rPr>
              <w:t>Distributed ownership and collective decision-making allegedly produce higher long-term resilience and lower Gini coefficients than highly centralised models.</w:t>
            </w:r>
          </w:p>
        </w:tc>
        <w:tc>
          <w:tcPr>
            <w:tcW w:type="dxa" w:w="2160"/>
            <w:vAlign w:val="center"/>
            <w:shd w:fill="F1F5F9"/>
          </w:tcPr>
          <w:p>
            <w:pPr>
              <w:spacing w:after="20" w:before="20"/>
            </w:pPr>
            <w:r/>
            <w:r>
              <w:rPr>
                <w:rFonts w:ascii="Aptos" w:hAnsi="Aptos"/>
                <w:b w:val="0"/>
                <w:sz w:val="16"/>
              </w:rPr>
              <w:t>Empirical hypothesis; too broad as written</w:t>
            </w:r>
          </w:p>
        </w:tc>
      </w:tr>
      <w:tr>
        <w:trPr>
          <w:cantSplit/>
        </w:trPr>
        <w:tc>
          <w:tcPr>
            <w:tcW w:type="dxa" w:w="1080"/>
            <w:vAlign w:val="center"/>
          </w:tcPr>
          <w:p>
            <w:pPr>
              <w:spacing w:after="20" w:before="20"/>
            </w:pPr>
            <w:r/>
            <w:r>
              <w:rPr>
                <w:rFonts w:ascii="Aptos" w:hAnsi="Aptos"/>
                <w:b w:val="0"/>
                <w:sz w:val="16"/>
              </w:rPr>
              <w:t>20-21</w:t>
            </w:r>
          </w:p>
        </w:tc>
        <w:tc>
          <w:tcPr>
            <w:tcW w:type="dxa" w:w="1584"/>
            <w:vAlign w:val="center"/>
          </w:tcPr>
          <w:p>
            <w:pPr>
              <w:spacing w:after="20" w:before="20"/>
            </w:pPr>
            <w:r/>
            <w:r>
              <w:rPr>
                <w:rFonts w:ascii="Aptos" w:hAnsi="Aptos"/>
                <w:b w:val="0"/>
                <w:sz w:val="16"/>
              </w:rPr>
              <w:t>T_002</w:t>
            </w:r>
          </w:p>
        </w:tc>
        <w:tc>
          <w:tcPr>
            <w:tcW w:type="dxa" w:w="5184"/>
            <w:vAlign w:val="center"/>
          </w:tcPr>
          <w:p>
            <w:pPr>
              <w:spacing w:after="20" w:before="20"/>
            </w:pPr>
            <w:r/>
            <w:r>
              <w:rPr>
                <w:rFonts w:ascii="Aptos" w:hAnsi="Aptos"/>
                <w:b w:val="0"/>
                <w:sz w:val="16"/>
              </w:rPr>
              <w:t>Unconstrained short-term shareholder-value maximisation is characterised as the “only reliable” path to societal wealth.</w:t>
            </w:r>
          </w:p>
        </w:tc>
        <w:tc>
          <w:tcPr>
            <w:tcW w:type="dxa" w:w="2160"/>
            <w:vAlign w:val="center"/>
          </w:tcPr>
          <w:p>
            <w:pPr>
              <w:spacing w:after="20" w:before="20"/>
            </w:pPr>
            <w:r/>
            <w:r>
              <w:rPr>
                <w:rFonts w:ascii="Aptos" w:hAnsi="Aptos"/>
                <w:b w:val="0"/>
                <w:sz w:val="16"/>
              </w:rPr>
              <w:t>Source-characterised theory; needs fair reconstruction</w:t>
            </w:r>
          </w:p>
        </w:tc>
      </w:tr>
      <w:tr>
        <w:trPr>
          <w:cantSplit/>
        </w:trPr>
        <w:tc>
          <w:tcPr>
            <w:tcW w:type="dxa" w:w="1080"/>
            <w:vAlign w:val="center"/>
            <w:shd w:fill="F1F5F9"/>
          </w:tcPr>
          <w:p>
            <w:pPr>
              <w:spacing w:after="20" w:before="20"/>
            </w:pPr>
            <w:r/>
            <w:r>
              <w:rPr>
                <w:rFonts w:ascii="Aptos" w:hAnsi="Aptos"/>
                <w:b w:val="0"/>
                <w:sz w:val="16"/>
              </w:rPr>
              <w:t>23-24</w:t>
            </w:r>
          </w:p>
        </w:tc>
        <w:tc>
          <w:tcPr>
            <w:tcW w:type="dxa" w:w="1584"/>
            <w:vAlign w:val="center"/>
            <w:shd w:fill="F1F5F9"/>
          </w:tcPr>
          <w:p>
            <w:pPr>
              <w:spacing w:after="20" w:before="20"/>
            </w:pPr>
            <w:r/>
            <w:r>
              <w:rPr>
                <w:rFonts w:ascii="Aptos" w:hAnsi="Aptos"/>
                <w:b w:val="0"/>
                <w:sz w:val="16"/>
              </w:rPr>
              <w:t>F_004</w:t>
            </w:r>
          </w:p>
        </w:tc>
        <w:tc>
          <w:tcPr>
            <w:tcW w:type="dxa" w:w="5184"/>
            <w:vAlign w:val="center"/>
            <w:shd w:fill="F1F5F9"/>
          </w:tcPr>
          <w:p>
            <w:pPr>
              <w:spacing w:after="20" w:before="20"/>
            </w:pPr>
            <w:r/>
            <w:r>
              <w:rPr>
                <w:rFonts w:ascii="Aptos" w:hAnsi="Aptos"/>
                <w:b w:val="0"/>
                <w:sz w:val="16"/>
              </w:rPr>
              <w:t>Unpriced systemic risk/ecological degradation allegedly makes all unconstrained short-term maximisation destructive to long-term well-being.</w:t>
            </w:r>
          </w:p>
        </w:tc>
        <w:tc>
          <w:tcPr>
            <w:tcW w:type="dxa" w:w="2160"/>
            <w:vAlign w:val="center"/>
            <w:shd w:fill="F1F5F9"/>
          </w:tcPr>
          <w:p>
            <w:pPr>
              <w:spacing w:after="20" w:before="20"/>
            </w:pPr>
            <w:r/>
            <w:r>
              <w:rPr>
                <w:rFonts w:ascii="Aptos" w:hAnsi="Aptos"/>
                <w:b w:val="0"/>
                <w:sz w:val="16"/>
              </w:rPr>
              <w:t>Mixed proposition; not a universal fact established here</w:t>
            </w:r>
          </w:p>
        </w:tc>
      </w:tr>
      <w:tr>
        <w:trPr>
          <w:cantSplit/>
        </w:trPr>
        <w:tc>
          <w:tcPr>
            <w:tcW w:type="dxa" w:w="1080"/>
            <w:vAlign w:val="center"/>
          </w:tcPr>
          <w:p>
            <w:pPr>
              <w:spacing w:after="20" w:before="20"/>
            </w:pPr>
            <w:r/>
            <w:r>
              <w:rPr>
                <w:rFonts w:ascii="Aptos" w:hAnsi="Aptos"/>
                <w:b w:val="0"/>
                <w:sz w:val="16"/>
              </w:rPr>
              <w:t>24-25</w:t>
            </w:r>
          </w:p>
        </w:tc>
        <w:tc>
          <w:tcPr>
            <w:tcW w:type="dxa" w:w="1584"/>
            <w:vAlign w:val="center"/>
          </w:tcPr>
          <w:p>
            <w:pPr>
              <w:spacing w:after="20" w:before="20"/>
            </w:pPr>
            <w:r/>
            <w:r>
              <w:rPr>
                <w:rFonts w:ascii="Aptos" w:hAnsi="Aptos"/>
                <w:b w:val="0"/>
                <w:sz w:val="16"/>
              </w:rPr>
              <w:t>CASCADE run</w:t>
            </w:r>
          </w:p>
        </w:tc>
        <w:tc>
          <w:tcPr>
            <w:tcW w:type="dxa" w:w="5184"/>
            <w:vAlign w:val="center"/>
          </w:tcPr>
          <w:p>
            <w:pPr>
              <w:spacing w:after="20" w:before="20"/>
            </w:pPr>
            <w:r/>
            <w:r>
              <w:rPr>
                <w:rFonts w:ascii="Aptos" w:hAnsi="Aptos"/>
                <w:b w:val="0"/>
                <w:sz w:val="16"/>
              </w:rPr>
              <w:t>T_002 is labelled inactive and T_001 strengthened following the chosen F_004.</w:t>
            </w:r>
          </w:p>
        </w:tc>
        <w:tc>
          <w:tcPr>
            <w:tcW w:type="dxa" w:w="2160"/>
            <w:vAlign w:val="center"/>
          </w:tcPr>
          <w:p>
            <w:pPr>
              <w:spacing w:after="20" w:before="20"/>
            </w:pPr>
            <w:r/>
            <w:r>
              <w:rPr>
                <w:rFonts w:ascii="Aptos" w:hAnsi="Aptos"/>
                <w:b w:val="0"/>
                <w:sz w:val="16"/>
              </w:rPr>
              <w:t>Reported procedural result</w:t>
            </w:r>
          </w:p>
        </w:tc>
      </w:tr>
      <w:tr>
        <w:trPr>
          <w:cantSplit/>
        </w:trPr>
        <w:tc>
          <w:tcPr>
            <w:tcW w:type="dxa" w:w="1080"/>
            <w:vAlign w:val="center"/>
            <w:shd w:fill="F1F5F9"/>
          </w:tcPr>
          <w:p>
            <w:pPr>
              <w:spacing w:after="20" w:before="20"/>
            </w:pPr>
            <w:r/>
            <w:r>
              <w:rPr>
                <w:rFonts w:ascii="Aptos" w:hAnsi="Aptos"/>
                <w:b w:val="0"/>
                <w:sz w:val="16"/>
              </w:rPr>
              <w:t>26-27</w:t>
            </w:r>
          </w:p>
        </w:tc>
        <w:tc>
          <w:tcPr>
            <w:tcW w:type="dxa" w:w="1584"/>
            <w:vAlign w:val="center"/>
            <w:shd w:fill="F1F5F9"/>
          </w:tcPr>
          <w:p>
            <w:pPr>
              <w:spacing w:after="20" w:before="20"/>
            </w:pPr>
            <w:r/>
            <w:r>
              <w:rPr>
                <w:rFonts w:ascii="Aptos" w:hAnsi="Aptos"/>
                <w:b w:val="0"/>
                <w:sz w:val="16"/>
              </w:rPr>
              <w:t>E_001 / DEEP</w:t>
            </w:r>
          </w:p>
        </w:tc>
        <w:tc>
          <w:tcPr>
            <w:tcW w:type="dxa" w:w="5184"/>
            <w:vAlign w:val="center"/>
            <w:shd w:fill="F1F5F9"/>
          </w:tcPr>
          <w:p>
            <w:pPr>
              <w:spacing w:after="20" w:before="20"/>
            </w:pPr>
            <w:r/>
            <w:r>
              <w:rPr>
                <w:rFonts w:ascii="Aptos" w:hAnsi="Aptos"/>
                <w:b w:val="0"/>
                <w:sz w:val="16"/>
              </w:rPr>
              <w:t>A proposed protocol and “Eco-Linked Assets” are said to provide ecological accounting.</w:t>
            </w:r>
          </w:p>
        </w:tc>
        <w:tc>
          <w:tcPr>
            <w:tcW w:type="dxa" w:w="2160"/>
            <w:vAlign w:val="center"/>
            <w:shd w:fill="F1F5F9"/>
          </w:tcPr>
          <w:p>
            <w:pPr>
              <w:spacing w:after="20" w:before="20"/>
            </w:pPr>
            <w:r/>
            <w:r>
              <w:rPr>
                <w:rFonts w:ascii="Aptos" w:hAnsi="Aptos"/>
                <w:b w:val="0"/>
                <w:sz w:val="16"/>
              </w:rPr>
              <w:t>Proposed concept; source link missing in this passage</w:t>
            </w:r>
          </w:p>
        </w:tc>
      </w:tr>
      <w:tr>
        <w:trPr>
          <w:cantSplit/>
        </w:trPr>
        <w:tc>
          <w:tcPr>
            <w:tcW w:type="dxa" w:w="1080"/>
            <w:vAlign w:val="center"/>
          </w:tcPr>
          <w:p>
            <w:pPr>
              <w:spacing w:after="20" w:before="20"/>
            </w:pPr>
            <w:r/>
            <w:r>
              <w:rPr>
                <w:rFonts w:ascii="Aptos" w:hAnsi="Aptos"/>
                <w:b w:val="0"/>
                <w:sz w:val="16"/>
              </w:rPr>
              <w:t>29</w:t>
            </w:r>
          </w:p>
        </w:tc>
        <w:tc>
          <w:tcPr>
            <w:tcW w:type="dxa" w:w="1584"/>
            <w:vAlign w:val="center"/>
          </w:tcPr>
          <w:p>
            <w:pPr>
              <w:spacing w:after="20" w:before="20"/>
            </w:pPr>
            <w:r/>
            <w:r>
              <w:rPr>
                <w:rFonts w:ascii="Aptos" w:hAnsi="Aptos"/>
                <w:b w:val="0"/>
                <w:sz w:val="16"/>
              </w:rPr>
              <w:t>Pyramid Coherence Score</w:t>
            </w:r>
          </w:p>
        </w:tc>
        <w:tc>
          <w:tcPr>
            <w:tcW w:type="dxa" w:w="5184"/>
            <w:vAlign w:val="center"/>
          </w:tcPr>
          <w:p>
            <w:pPr>
              <w:spacing w:after="20" w:before="20"/>
            </w:pPr>
            <w:r/>
            <w:r>
              <w:rPr>
                <w:rFonts w:ascii="Aptos" w:hAnsi="Aptos"/>
                <w:b w:val="0"/>
                <w:sz w:val="16"/>
              </w:rPr>
              <w:t>The anonymous abstract reports 0.98.</w:t>
            </w:r>
          </w:p>
        </w:tc>
        <w:tc>
          <w:tcPr>
            <w:tcW w:type="dxa" w:w="2160"/>
            <w:vAlign w:val="center"/>
          </w:tcPr>
          <w:p>
            <w:pPr>
              <w:spacing w:after="20" w:before="20"/>
            </w:pPr>
            <w:r/>
            <w:r>
              <w:rPr>
                <w:rFonts w:ascii="Aptos" w:hAnsi="Aptos"/>
                <w:b w:val="0"/>
                <w:sz w:val="16"/>
              </w:rPr>
              <w:t>Unverified reported result</w:t>
            </w:r>
          </w:p>
        </w:tc>
      </w:tr>
      <w:tr>
        <w:trPr>
          <w:cantSplit/>
        </w:trPr>
        <w:tc>
          <w:tcPr>
            <w:tcW w:type="dxa" w:w="1080"/>
            <w:vAlign w:val="center"/>
            <w:shd w:fill="F1F5F9"/>
          </w:tcPr>
          <w:p>
            <w:pPr>
              <w:spacing w:after="20" w:before="20"/>
            </w:pPr>
            <w:r/>
            <w:r>
              <w:rPr>
                <w:rFonts w:ascii="Aptos" w:hAnsi="Aptos"/>
                <w:b w:val="0"/>
                <w:sz w:val="16"/>
              </w:rPr>
              <w:t>29-30</w:t>
            </w:r>
          </w:p>
        </w:tc>
        <w:tc>
          <w:tcPr>
            <w:tcW w:type="dxa" w:w="1584"/>
            <w:vAlign w:val="center"/>
            <w:shd w:fill="F1F5F9"/>
          </w:tcPr>
          <w:p>
            <w:pPr>
              <w:spacing w:after="20" w:before="20"/>
            </w:pPr>
            <w:r/>
            <w:r>
              <w:rPr>
                <w:rFonts w:ascii="Aptos" w:hAnsi="Aptos"/>
                <w:b w:val="0"/>
                <w:sz w:val="16"/>
              </w:rPr>
              <w:t>“Validated”</w:t>
            </w:r>
          </w:p>
        </w:tc>
        <w:tc>
          <w:tcPr>
            <w:tcW w:type="dxa" w:w="5184"/>
            <w:vAlign w:val="center"/>
            <w:shd w:fill="F1F5F9"/>
          </w:tcPr>
          <w:p>
            <w:pPr>
              <w:spacing w:after="20" w:before="20"/>
            </w:pPr>
            <w:r/>
            <w:r>
              <w:rPr>
                <w:rFonts w:ascii="Aptos" w:hAnsi="Aptos"/>
                <w:b w:val="0"/>
                <w:sz w:val="16"/>
              </w:rPr>
              <w:t>The transcript declares the experiment completed and validated.</w:t>
            </w:r>
          </w:p>
        </w:tc>
        <w:tc>
          <w:tcPr>
            <w:tcW w:type="dxa" w:w="2160"/>
            <w:vAlign w:val="center"/>
            <w:shd w:fill="F1F5F9"/>
          </w:tcPr>
          <w:p>
            <w:pPr>
              <w:spacing w:after="20" w:before="20"/>
            </w:pPr>
            <w:r/>
            <w:r>
              <w:rPr>
                <w:rFonts w:ascii="Aptos" w:hAnsi="Aptos"/>
                <w:b w:val="0"/>
                <w:sz w:val="16"/>
              </w:rPr>
              <w:t>Validation claim not independently established</w:t>
            </w:r>
          </w:p>
        </w:tc>
      </w:tr>
    </w:tbl>
    <w:p/>
    <w:p>
      <w:pPr>
        <w:pStyle w:val="Heading1"/>
      </w:pPr>
      <w:r>
        <w:t>3. Principal defects and how to repair them</w:t>
      </w:r>
    </w:p>
    <w:p>
      <w:pPr>
        <w:pStyle w:val="Heading2"/>
      </w:pPr>
      <w:r>
        <w:t>3.1 Circular confirmation risk</w:t>
      </w:r>
    </w:p>
    <w:p>
      <w:r>
        <w:t>F_004 is devised to make T_002 fail; the metrics then classify T_002 as failing and the architecture treats the expected result as confirmation. This shows the system can enact the designer’s selected rule, not that the rule or policy conclusion is true. Repair: define the research question, scoring criteria, competing hypotheses and failure conditions before the run.</w:t>
      </w:r>
    </w:p>
    <w:p>
      <w:pPr>
        <w:pStyle w:val="Heading2"/>
      </w:pPr>
      <w:r>
        <w:t>3.2 Coherence is not truth</w:t>
      </w:r>
    </w:p>
    <w:p>
      <w:r>
        <w:t>A system can be internally coherent while relying on a false premise. Removing dissent can raise coherence without raising accuracy. Repair: separately track (a) logical consistency, (b) evidence quality/calibration, (c) value legitimacy, and (d) policy outcomes. Never merge these into a single “truth” score.</w:t>
      </w:r>
    </w:p>
    <w:p>
      <w:pPr>
        <w:pStyle w:val="Heading2"/>
      </w:pPr>
      <w:r>
        <w:t>3.3 T_002 is not a fair opponent yet</w:t>
      </w:r>
    </w:p>
    <w:p>
      <w:r>
        <w:t>The “only reliable pathway” phrasing is an extreme proposition. The transcript offers no evidence that a specified school of economics actually asserts this exact claim. Repair: preserve the original wording for provenance, then create a separate steelman version with a citation and clear scope.</w:t>
      </w:r>
    </w:p>
    <w:p>
      <w:pPr>
        <w:pStyle w:val="Heading2"/>
      </w:pPr>
      <w:r>
        <w:t>3.4 F_004 overclaims</w:t>
      </w:r>
    </w:p>
    <w:p>
      <w:r>
        <w:t>The phrase “all short-term, unconstrained value maximisation strategies” is universal. Outcomes depend on sector, externalities, institutions, time horizon, discounting, market structure and policy constraints. Repair: split it into narrower empirical claims with explicit scope conditions and counterexamples.</w:t>
      </w:r>
    </w:p>
    <w:p>
      <w:pPr>
        <w:pStyle w:val="Heading2"/>
      </w:pPr>
      <w:r>
        <w:t>3.5 T_001 bundles outcomes</w:t>
      </w:r>
    </w:p>
    <w:p>
      <w:r>
        <w:t>Ownership structure, employee participation, inequality and organisational resilience are different variables at different levels. A finding about firm productivity cannot prove a claim about national Gini coefficients. Repair: write distinct hypotheses and specify unit of analysis, outcomes, comparison group, confounders and follow-up horizon.</w:t>
      </w:r>
    </w:p>
    <w:p>
      <w:pPr>
        <w:pStyle w:val="Heading2"/>
      </w:pPr>
      <w:r>
        <w:t>3.6 AURA is not operational yet</w:t>
      </w:r>
    </w:p>
    <w:p>
      <w:r>
        <w:t>The source gives illustrative thresholds for TE and VTR (pp. 9-10), but the political test records no formulas, inputs, uncertainty or independent rating protocol. PAI also embeds normative choices. Repair: formally define each construct, formula, units, missing-data behavior, calibration target, known gaming strategies and benchmark performance before allowing it to trigger anything.</w:t>
      </w:r>
    </w:p>
    <w:p>
      <w:pPr>
        <w:pStyle w:val="Heading2"/>
      </w:pPr>
      <w:r>
        <w:t>3.7 A cascade should open a review queue, not erase disagreement</w:t>
      </w:r>
    </w:p>
    <w:p>
      <w:r>
        <w:t>A changed premise should cause downstream claims to be re-examined, not silently deleted or promoted. Some contradictions reflect plural values or unresolved uncertainty rather than logical error. Repair: keep conflicting claims visible, preserve their history and require a documented reviewer decision.</w:t>
      </w:r>
    </w:p>
    <w:p>
      <w:pPr>
        <w:pStyle w:val="Heading2"/>
      </w:pPr>
      <w:r>
        <w:t>3.8 Novelty claims need prior-art review</w:t>
      </w:r>
    </w:p>
    <w:p>
      <w:r>
        <w:t>Provenance-aware knowledge representation and belief revision are established research areas. That does not negate the project’s potential contribution, but it means novelty must be stated narrowly—possibly in a particular workflow, audit method, evaluation result or New Zealand application.</w:t>
      </w:r>
    </w:p>
    <w:p>
      <w:pPr>
        <w:pStyle w:val="Heading2"/>
      </w:pPr>
      <w:r>
        <w:t>3.9 Privacy needs a separate publishing path</w:t>
      </w:r>
    </w:p>
    <w:p>
      <w:r>
        <w:t>The source contains identifying attribution and contextual details despite discussion of anonymous release (pp. 28-30 and later provenance discussion). The original PDF should not be described as anonymous. Repair: keep the immutable source privately, prepare a distinct redacted publication copy, remove metadata and assess contextual re-identification risk. Redaction cannot guarantee anonymity.</w:t>
      </w:r>
    </w:p>
    <w:p>
      <w:pPr>
        <w:pStyle w:val="Heading1"/>
      </w:pPr>
      <w:r>
        <w:t>4. Independent evidence: what it supports and what it does not</w:t>
      </w:r>
    </w:p>
    <w:p>
      <w:r>
        <w:t>This is a focused preliminary scan, not a systematic review. It is sufficient to refine the claims and choose comparators, but not to settle every substantive question.</w:t>
      </w:r>
    </w:p>
    <w:p>
      <w:pPr>
        <w:pStyle w:val="Heading2"/>
      </w:pPr>
      <w:r>
        <w:t>4.1 New Zealand public-policy comparators</w:t>
      </w:r>
    </w:p>
    <w:p>
      <w:r>
        <w:t>The New Zealand Treasury’s Living Standards Framework (LSF) already prompts policy analysts to consider individual and collective well-being, institutions and governance, the wealth of Aotearoa, and lenses including distribution, resilience, productivity and sustainability. Treasury explicitly describes the LSF as complementing rather than replacing other frameworks, including He Ara Waiora and Fonofale. This is a strong local baseline and a reminder that a civic tool should not pretend a single value model fully represents New Zealand society. [EXT-001]</w:t>
      </w:r>
    </w:p>
    <w:p>
      <w:r>
        <w:t>Treasury’s CBAx tool is also a useful comparison. It aims to make assumptions explicit and evaluate long-term social costs and benefits consistently, while Treasury states that decisions are not evaluated on CBAx outputs alone: unmonetised impacts, evidence, assumptions, implementation risk and fiscal constraints also matter. Anon Politician should demonstrate what it adds to this ecosystem, not simply rebrand evidence review or policy analysis. [EXT-002]</w:t>
      </w:r>
    </w:p>
    <w:p>
      <w:pPr>
        <w:pStyle w:val="Heading2"/>
      </w:pPr>
      <w:r>
        <w:t>4.2 Ecological accounting and the DEEP concept</w:t>
      </w:r>
    </w:p>
    <w:p>
      <w:r>
        <w:t>The United Nations System of Environmental-Economic Accounting—Ecosystem Accounting (SEEA EA) was adopted by the UN Statistical Commission in March 2021 as an international statistical standard. It organises spatial ecosystem information, measures ecosystem extent and condition, accounts for ecosystem services and links these to economic and human activity. This is an established, traceable comparator for E_001. [EXT-003]</w:t>
      </w:r>
    </w:p>
    <w:p>
      <w:r>
        <w:t>Stats NZ’s “Environmental-economic accounts: Data to 2024” release, published on 5 March 2026, already reports accounts for environmental-protection expenditure (the account is currently experimental), environmental taxes, the marine economy and renewable-energy stock, under the UN SEEA framework. This substantially raises the bar for claiming that DEEP is novel: the project must identify a specific missing capability, such as finer spatial resolution, audit trails, timeliness, decision integration or incentive design, then test whether an added mechanism works and does not invite gaming. [EXT-011]</w:t>
      </w:r>
    </w:p>
    <w:p>
      <w:r>
        <w:t>The source transcript’s term “DEEP” may still be used as the project’s own proposed concept, but the reviewed passage supplies no primary reference establishing it as an existing protocol. The audit’s targeted search did not identify a clearly matching independent protocol under the exact name; this is not proof that no such work exists. Do not cite DEEP as an externally established method until an identifiable source is produced. [SRC-012]</w:t>
      </w:r>
    </w:p>
    <w:p>
      <w:r>
        <w:t>SEEA also avoids a simplistic “everything must have a price” interpretation. It allows physical measures as well as monetary accounts; its materials acknowledge the scope limits and continuing development of monetary valuation. A credible ecological accounting proposal should therefore preserve physical-condition measures, uncertainty and non-monetary value, rather than converting ecology automatically into tradable assets. [EXT-004]</w:t>
      </w:r>
    </w:p>
    <w:p>
      <w:pPr>
        <w:pStyle w:val="Heading2"/>
      </w:pPr>
      <w:r>
        <w:t>4.3 Evidence on worker ownership and collaborative models</w:t>
      </w:r>
    </w:p>
    <w:p>
      <w:r>
        <w:t>A 2016 meta-analysis by O’Boyle, Patel and Gonzalez-Mulé aggregated 102 samples covering 56,984 firms and reported a small positive relationship between employee ownership and firm performance (effect reported as 0.04). The authors also described results in the literature as mixed. This is evidence relevant to one narrower outcome, not proof of lower national inequality or stronger resilience for all collaborative economic arrangements. [EXT-005]</w:t>
      </w:r>
    </w:p>
    <w:p>
      <w:r>
        <w:t>A 2025/2026 study of French firm cohorts reported that the apparent worker-owned-firm survival advantage largely diminished after accounting for entry resources, with a remaining advantage in some low-capital and low-knowledge-intensity sectors. This illustrates why CASCADE needs confounding checks and boundary conditions rather than promotion based on value compatibility. [EXT-006]</w:t>
      </w:r>
    </w:p>
    <w:p>
      <w:r>
        <w:t>Interim judgement on T_001: plausible enough to research, not established as written. Recommended decomposition: (H1) employee ownership and firm performance; (H2) worker voice and job quality; (H3) ownership form and firm survival under shocks; (H4) effects on wealth and income distribution; (H5) community resilience. Each needs its own evidence base and scope.</w:t>
      </w:r>
    </w:p>
    <w:p>
      <w:pPr>
        <w:pStyle w:val="Heading2"/>
      </w:pPr>
      <w:r>
        <w:t>4.4 Provenance, knowledge graphs and evaluation</w:t>
      </w:r>
    </w:p>
    <w:p>
      <w:r>
        <w:t>A 2020 survey of provenance-aware knowledge representation documents prior art in attaching provenance/context to structured claims and knowledge graphs. A 2025 survey reviews methods for fact-checking knowledge graphs. These sources establish that provenance and claim verification are active, existing research areas; a novelty claim requires a more specific comparison. [EXT-007]</w:t>
      </w:r>
    </w:p>
    <w:p>
      <w:r>
        <w:t>OECD guidance describes public-policy monitoring and evaluation as mechanisms for trustworthy evidence, accountability and understanding outcomes and trade-offs. This supports preregistered testing and clear reporting of negative results. It does not prove that a knowledge graph or AI-mediated workflow improves policy decisions. [EXT-008]</w:t>
      </w:r>
    </w:p>
    <w:p>
      <w:r>
        <w:t>A 2026 American Economic Review field experiment reported that policy adoption changed substantially depending on ideological alignment between information sources and policymakers. The setting is specific and should not be generalised broadly, but it makes source/frame effects a serious evaluation target for a purportedly neutral system. [EXT-009]</w:t>
      </w:r>
    </w:p>
    <w:p>
      <w:pPr>
        <w:pStyle w:val="Heading1"/>
      </w:pPr>
      <w:r>
        <w:t>5. Architecture requirements revised after audit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vAlign w:val="center"/>
            <w:shd w:fill="16324F"/>
          </w:tcPr>
          <w:p>
            <w:pPr>
              <w:spacing w:after="20" w:before="20"/>
            </w:pPr>
            <w:r/>
            <w:r>
              <w:rPr>
                <w:rFonts w:ascii="Aptos" w:hAnsi="Aptos"/>
                <w:b/>
                <w:color w:val="FFFFFF"/>
                <w:sz w:val="16"/>
              </w:rPr>
              <w:t>Layer / component</w:t>
            </w:r>
          </w:p>
        </w:tc>
        <w:tc>
          <w:tcPr>
            <w:tcW w:type="dxa" w:w="4896"/>
            <w:vAlign w:val="center"/>
            <w:shd w:fill="16324F"/>
          </w:tcPr>
          <w:p>
            <w:pPr>
              <w:spacing w:after="20" w:before="20"/>
            </w:pPr>
            <w:r/>
            <w:r>
              <w:rPr>
                <w:rFonts w:ascii="Aptos" w:hAnsi="Aptos"/>
                <w:b/>
                <w:color w:val="FFFFFF"/>
                <w:sz w:val="16"/>
              </w:rPr>
              <w:t>Requirement for v0.2+</w:t>
            </w:r>
          </w:p>
        </w:tc>
        <w:tc>
          <w:tcPr>
            <w:tcW w:type="dxa" w:w="2880"/>
            <w:vAlign w:val="center"/>
            <w:shd w:fill="16324F"/>
          </w:tcPr>
          <w:p>
            <w:pPr>
              <w:spacing w:after="20" w:before="20"/>
            </w:pPr>
            <w:r/>
            <w:r>
              <w:rPr>
                <w:rFonts w:ascii="Aptos" w:hAnsi="Aptos"/>
                <w:b/>
                <w:color w:val="FFFFFF"/>
                <w:sz w:val="16"/>
              </w:rPr>
              <w:t>Reason</w:t>
            </w:r>
          </w:p>
        </w:tc>
      </w:tr>
      <w:tr>
        <w:trPr>
          <w:cantSplit/>
        </w:trPr>
        <w:tc>
          <w:tcPr>
            <w:tcW w:type="dxa" w:w="1944"/>
            <w:vAlign w:val="center"/>
          </w:tcPr>
          <w:p>
            <w:pPr>
              <w:spacing w:after="20" w:before="20"/>
            </w:pPr>
            <w:r/>
            <w:r>
              <w:rPr>
                <w:rFonts w:ascii="Aptos" w:hAnsi="Aptos"/>
                <w:b w:val="0"/>
                <w:sz w:val="16"/>
              </w:rPr>
              <w:t>Source/provenance layer</w:t>
            </w:r>
          </w:p>
        </w:tc>
        <w:tc>
          <w:tcPr>
            <w:tcW w:type="dxa" w:w="4896"/>
            <w:vAlign w:val="center"/>
          </w:tcPr>
          <w:p>
            <w:pPr>
              <w:spacing w:after="20" w:before="20"/>
            </w:pPr>
            <w:r/>
            <w:r>
              <w:rPr>
                <w:rFonts w:ascii="Aptos" w:hAnsi="Aptos"/>
                <w:b w:val="0"/>
                <w:sz w:val="16"/>
              </w:rPr>
              <w:t>Store verbatim source quote, document hash, exact page/line, author/publisher, captured date, source type and immutable history.</w:t>
            </w:r>
          </w:p>
        </w:tc>
        <w:tc>
          <w:tcPr>
            <w:tcW w:type="dxa" w:w="2880"/>
            <w:vAlign w:val="center"/>
          </w:tcPr>
          <w:p>
            <w:pPr>
              <w:spacing w:after="20" w:before="20"/>
            </w:pPr>
            <w:r/>
            <w:r>
              <w:rPr>
                <w:rFonts w:ascii="Aptos" w:hAnsi="Aptos"/>
                <w:b w:val="0"/>
                <w:sz w:val="16"/>
              </w:rPr>
              <w:t>A claim must be traceable to what was actually said.</w:t>
            </w:r>
          </w:p>
        </w:tc>
      </w:tr>
      <w:tr>
        <w:trPr>
          <w:cantSplit/>
        </w:trPr>
        <w:tc>
          <w:tcPr>
            <w:tcW w:type="dxa" w:w="1944"/>
            <w:vAlign w:val="center"/>
            <w:shd w:fill="F1F5F9"/>
          </w:tcPr>
          <w:p>
            <w:pPr>
              <w:spacing w:after="20" w:before="20"/>
            </w:pPr>
            <w:r/>
            <w:r>
              <w:rPr>
                <w:rFonts w:ascii="Aptos" w:hAnsi="Aptos"/>
                <w:b w:val="0"/>
                <w:sz w:val="16"/>
              </w:rPr>
              <w:t>Claim type</w:t>
            </w:r>
          </w:p>
        </w:tc>
        <w:tc>
          <w:tcPr>
            <w:tcW w:type="dxa" w:w="4896"/>
            <w:vAlign w:val="center"/>
            <w:shd w:fill="F1F5F9"/>
          </w:tcPr>
          <w:p>
            <w:pPr>
              <w:spacing w:after="20" w:before="20"/>
            </w:pPr>
            <w:r/>
            <w:r>
              <w:rPr>
                <w:rFonts w:ascii="Aptos" w:hAnsi="Aptos"/>
                <w:b w:val="0"/>
                <w:sz w:val="16"/>
              </w:rPr>
              <w:t>Separate empirical hypothesis, empirical finding, normative commitment, definition, proposal, reported model output and source characterisation.</w:t>
            </w:r>
          </w:p>
        </w:tc>
        <w:tc>
          <w:tcPr>
            <w:tcW w:type="dxa" w:w="2880"/>
            <w:vAlign w:val="center"/>
            <w:shd w:fill="F1F5F9"/>
          </w:tcPr>
          <w:p>
            <w:pPr>
              <w:spacing w:after="20" w:before="20"/>
            </w:pPr>
            <w:r/>
            <w:r>
              <w:rPr>
                <w:rFonts w:ascii="Aptos" w:hAnsi="Aptos"/>
                <w:b w:val="0"/>
                <w:sz w:val="16"/>
              </w:rPr>
              <w:t>Different epistemic classes need different tests.</w:t>
            </w:r>
          </w:p>
        </w:tc>
      </w:tr>
      <w:tr>
        <w:trPr>
          <w:cantSplit/>
        </w:trPr>
        <w:tc>
          <w:tcPr>
            <w:tcW w:type="dxa" w:w="1944"/>
            <w:vAlign w:val="center"/>
          </w:tcPr>
          <w:p>
            <w:pPr>
              <w:spacing w:after="20" w:before="20"/>
            </w:pPr>
            <w:r/>
            <w:r>
              <w:rPr>
                <w:rFonts w:ascii="Aptos" w:hAnsi="Aptos"/>
                <w:b w:val="0"/>
                <w:sz w:val="16"/>
              </w:rPr>
              <w:t>Evidence links</w:t>
            </w:r>
          </w:p>
        </w:tc>
        <w:tc>
          <w:tcPr>
            <w:tcW w:type="dxa" w:w="4896"/>
            <w:vAlign w:val="center"/>
          </w:tcPr>
          <w:p>
            <w:pPr>
              <w:spacing w:after="20" w:before="20"/>
            </w:pPr>
            <w:r/>
            <w:r>
              <w:rPr>
                <w:rFonts w:ascii="Aptos" w:hAnsi="Aptos"/>
                <w:b w:val="0"/>
                <w:sz w:val="16"/>
              </w:rPr>
              <w:t>Allow supports, contradicts, qualifies, contextualises, replicates and fails-to-replicate links.</w:t>
            </w:r>
          </w:p>
        </w:tc>
        <w:tc>
          <w:tcPr>
            <w:tcW w:type="dxa" w:w="2880"/>
            <w:vAlign w:val="center"/>
          </w:tcPr>
          <w:p>
            <w:pPr>
              <w:spacing w:after="20" w:before="20"/>
            </w:pPr>
            <w:r/>
            <w:r>
              <w:rPr>
                <w:rFonts w:ascii="Aptos" w:hAnsi="Aptos"/>
                <w:b w:val="0"/>
                <w:sz w:val="16"/>
              </w:rPr>
              <w:t>Evidence is plural; no forced binary verdict.</w:t>
            </w:r>
          </w:p>
        </w:tc>
      </w:tr>
      <w:tr>
        <w:trPr>
          <w:cantSplit/>
        </w:trPr>
        <w:tc>
          <w:tcPr>
            <w:tcW w:type="dxa" w:w="1944"/>
            <w:vAlign w:val="center"/>
            <w:shd w:fill="F1F5F9"/>
          </w:tcPr>
          <w:p>
            <w:pPr>
              <w:spacing w:after="20" w:before="20"/>
            </w:pPr>
            <w:r/>
            <w:r>
              <w:rPr>
                <w:rFonts w:ascii="Aptos" w:hAnsi="Aptos"/>
                <w:b w:val="0"/>
                <w:sz w:val="16"/>
              </w:rPr>
              <w:t>Scope</w:t>
            </w:r>
          </w:p>
        </w:tc>
        <w:tc>
          <w:tcPr>
            <w:tcW w:type="dxa" w:w="4896"/>
            <w:vAlign w:val="center"/>
            <w:shd w:fill="F1F5F9"/>
          </w:tcPr>
          <w:p>
            <w:pPr>
              <w:spacing w:after="20" w:before="20"/>
            </w:pPr>
            <w:r/>
            <w:r>
              <w:rPr>
                <w:rFonts w:ascii="Aptos" w:hAnsi="Aptos"/>
                <w:b w:val="0"/>
                <w:sz w:val="16"/>
              </w:rPr>
              <w:t>Record jurisdiction, population, time horizon, conditions, outcomes, counterfactual and limitations.</w:t>
            </w:r>
          </w:p>
        </w:tc>
        <w:tc>
          <w:tcPr>
            <w:tcW w:type="dxa" w:w="2880"/>
            <w:vAlign w:val="center"/>
            <w:shd w:fill="F1F5F9"/>
          </w:tcPr>
          <w:p>
            <w:pPr>
              <w:spacing w:after="20" w:before="20"/>
            </w:pPr>
            <w:r/>
            <w:r>
              <w:rPr>
                <w:rFonts w:ascii="Aptos" w:hAnsi="Aptos"/>
                <w:b w:val="0"/>
                <w:sz w:val="16"/>
              </w:rPr>
              <w:t>Prevents universal claims from silently exceeding the evidence.</w:t>
            </w:r>
          </w:p>
        </w:tc>
      </w:tr>
      <w:tr>
        <w:trPr>
          <w:cantSplit/>
        </w:trPr>
        <w:tc>
          <w:tcPr>
            <w:tcW w:type="dxa" w:w="1944"/>
            <w:vAlign w:val="center"/>
          </w:tcPr>
          <w:p>
            <w:pPr>
              <w:spacing w:after="20" w:before="20"/>
            </w:pPr>
            <w:r/>
            <w:r>
              <w:rPr>
                <w:rFonts w:ascii="Aptos" w:hAnsi="Aptos"/>
                <w:b w:val="0"/>
                <w:sz w:val="16"/>
              </w:rPr>
              <w:t>CASCADE behavior</w:t>
            </w:r>
          </w:p>
        </w:tc>
        <w:tc>
          <w:tcPr>
            <w:tcW w:type="dxa" w:w="4896"/>
            <w:vAlign w:val="center"/>
          </w:tcPr>
          <w:p>
            <w:pPr>
              <w:spacing w:after="20" w:before="20"/>
            </w:pPr>
            <w:r/>
            <w:r>
              <w:rPr>
                <w:rFonts w:ascii="Aptos" w:hAnsi="Aptos"/>
                <w:b w:val="0"/>
                <w:sz w:val="16"/>
              </w:rPr>
              <w:t>Upstream changes create review tasks for dependents; no automatic truth promotion/demotion/removal.</w:t>
            </w:r>
          </w:p>
        </w:tc>
        <w:tc>
          <w:tcPr>
            <w:tcW w:type="dxa" w:w="2880"/>
            <w:vAlign w:val="center"/>
          </w:tcPr>
          <w:p>
            <w:pPr>
              <w:spacing w:after="20" w:before="20"/>
            </w:pPr>
            <w:r/>
            <w:r>
              <w:rPr>
                <w:rFonts w:ascii="Aptos" w:hAnsi="Aptos"/>
                <w:b w:val="0"/>
                <w:sz w:val="16"/>
              </w:rPr>
              <w:t>Prevents self-sealing and destructive cascade errors.</w:t>
            </w:r>
          </w:p>
        </w:tc>
      </w:tr>
      <w:tr>
        <w:trPr>
          <w:cantSplit/>
        </w:trPr>
        <w:tc>
          <w:tcPr>
            <w:tcW w:type="dxa" w:w="1944"/>
            <w:vAlign w:val="center"/>
            <w:shd w:fill="F1F5F9"/>
          </w:tcPr>
          <w:p>
            <w:pPr>
              <w:spacing w:after="20" w:before="20"/>
            </w:pPr>
            <w:r/>
            <w:r>
              <w:rPr>
                <w:rFonts w:ascii="Aptos" w:hAnsi="Aptos"/>
                <w:b w:val="0"/>
                <w:sz w:val="16"/>
              </w:rPr>
              <w:t>Value governance</w:t>
            </w:r>
          </w:p>
        </w:tc>
        <w:tc>
          <w:tcPr>
            <w:tcW w:type="dxa" w:w="4896"/>
            <w:vAlign w:val="center"/>
            <w:shd w:fill="F1F5F9"/>
          </w:tcPr>
          <w:p>
            <w:pPr>
              <w:spacing w:after="20" w:before="20"/>
            </w:pPr>
            <w:r/>
            <w:r>
              <w:rPr>
                <w:rFonts w:ascii="Aptos" w:hAnsi="Aptos"/>
                <w:b w:val="0"/>
                <w:sz w:val="16"/>
              </w:rPr>
              <w:t>Track more than one value profile; show trade-offs and minority views. Separate values from factual support.</w:t>
            </w:r>
          </w:p>
        </w:tc>
        <w:tc>
          <w:tcPr>
            <w:tcW w:type="dxa" w:w="2880"/>
            <w:vAlign w:val="center"/>
            <w:shd w:fill="F1F5F9"/>
          </w:tcPr>
          <w:p>
            <w:pPr>
              <w:spacing w:after="20" w:before="20"/>
            </w:pPr>
            <w:r/>
            <w:r>
              <w:rPr>
                <w:rFonts w:ascii="Aptos" w:hAnsi="Aptos"/>
                <w:b w:val="0"/>
                <w:sz w:val="16"/>
              </w:rPr>
              <w:t>Avoids embedding one designer’s values as neutral objective truth.</w:t>
            </w:r>
          </w:p>
        </w:tc>
      </w:tr>
      <w:tr>
        <w:trPr>
          <w:cantSplit/>
        </w:trPr>
        <w:tc>
          <w:tcPr>
            <w:tcW w:type="dxa" w:w="1944"/>
            <w:vAlign w:val="center"/>
          </w:tcPr>
          <w:p>
            <w:pPr>
              <w:spacing w:after="20" w:before="20"/>
            </w:pPr>
            <w:r/>
            <w:r>
              <w:rPr>
                <w:rFonts w:ascii="Aptos" w:hAnsi="Aptos"/>
                <w:b w:val="0"/>
                <w:sz w:val="16"/>
              </w:rPr>
              <w:t>Metrics</w:t>
            </w:r>
          </w:p>
        </w:tc>
        <w:tc>
          <w:tcPr>
            <w:tcW w:type="dxa" w:w="4896"/>
            <w:vAlign w:val="center"/>
          </w:tcPr>
          <w:p>
            <w:pPr>
              <w:spacing w:after="20" w:before="20"/>
            </w:pPr>
            <w:r/>
            <w:r>
              <w:rPr>
                <w:rFonts w:ascii="Aptos" w:hAnsi="Aptos"/>
                <w:b w:val="0"/>
                <w:sz w:val="16"/>
              </w:rPr>
              <w:t>No TE/VTR/PAI gate until formulas, units, calibration, construct validity, reliability and gaming tests are published.</w:t>
            </w:r>
          </w:p>
        </w:tc>
        <w:tc>
          <w:tcPr>
            <w:tcW w:type="dxa" w:w="2880"/>
            <w:vAlign w:val="center"/>
          </w:tcPr>
          <w:p>
            <w:pPr>
              <w:spacing w:after="20" w:before="20"/>
            </w:pPr>
            <w:r/>
            <w:r>
              <w:rPr>
                <w:rFonts w:ascii="Aptos" w:hAnsi="Aptos"/>
                <w:b w:val="0"/>
                <w:sz w:val="16"/>
              </w:rPr>
              <w:t>Numbers without an operational specification are not reproducible metrics.</w:t>
            </w:r>
          </w:p>
        </w:tc>
      </w:tr>
      <w:tr>
        <w:trPr>
          <w:cantSplit/>
        </w:trPr>
        <w:tc>
          <w:tcPr>
            <w:tcW w:type="dxa" w:w="1944"/>
            <w:vAlign w:val="center"/>
            <w:shd w:fill="F1F5F9"/>
          </w:tcPr>
          <w:p>
            <w:pPr>
              <w:spacing w:after="20" w:before="20"/>
            </w:pPr>
            <w:r/>
            <w:r>
              <w:rPr>
                <w:rFonts w:ascii="Aptos" w:hAnsi="Aptos"/>
                <w:b w:val="0"/>
                <w:sz w:val="16"/>
              </w:rPr>
              <w:t>Decision history</w:t>
            </w:r>
          </w:p>
        </w:tc>
        <w:tc>
          <w:tcPr>
            <w:tcW w:type="dxa" w:w="4896"/>
            <w:vAlign w:val="center"/>
            <w:shd w:fill="F1F5F9"/>
          </w:tcPr>
          <w:p>
            <w:pPr>
              <w:spacing w:after="20" w:before="20"/>
            </w:pPr>
            <w:r/>
            <w:r>
              <w:rPr>
                <w:rFonts w:ascii="Aptos" w:hAnsi="Aptos"/>
                <w:b w:val="0"/>
                <w:sz w:val="16"/>
              </w:rPr>
              <w:t>Record before/after state, decision-maker, rationale, evidence considered, dissent and rollback path.</w:t>
            </w:r>
          </w:p>
        </w:tc>
        <w:tc>
          <w:tcPr>
            <w:tcW w:type="dxa" w:w="2880"/>
            <w:vAlign w:val="center"/>
            <w:shd w:fill="F1F5F9"/>
          </w:tcPr>
          <w:p>
            <w:pPr>
              <w:spacing w:after="20" w:before="20"/>
            </w:pPr>
            <w:r/>
            <w:r>
              <w:rPr>
                <w:rFonts w:ascii="Aptos" w:hAnsi="Aptos"/>
                <w:b w:val="0"/>
                <w:sz w:val="16"/>
              </w:rPr>
              <w:t>Supports accountability and reversibility.</w:t>
            </w:r>
          </w:p>
        </w:tc>
      </w:tr>
      <w:tr>
        <w:trPr>
          <w:cantSplit/>
        </w:trPr>
        <w:tc>
          <w:tcPr>
            <w:tcW w:type="dxa" w:w="1944"/>
            <w:vAlign w:val="center"/>
          </w:tcPr>
          <w:p>
            <w:pPr>
              <w:spacing w:after="20" w:before="20"/>
            </w:pPr>
            <w:r/>
            <w:r>
              <w:rPr>
                <w:rFonts w:ascii="Aptos" w:hAnsi="Aptos"/>
                <w:b w:val="0"/>
                <w:sz w:val="16"/>
              </w:rPr>
              <w:t>External interfaces</w:t>
            </w:r>
          </w:p>
        </w:tc>
        <w:tc>
          <w:tcPr>
            <w:tcW w:type="dxa" w:w="4896"/>
            <w:vAlign w:val="center"/>
          </w:tcPr>
          <w:p>
            <w:pPr>
              <w:spacing w:after="20" w:before="20"/>
            </w:pPr>
            <w:r/>
            <w:r>
              <w:rPr>
                <w:rFonts w:ascii="Aptos" w:hAnsi="Aptos"/>
                <w:b w:val="0"/>
                <w:sz w:val="16"/>
              </w:rPr>
              <w:t>Map findings to NZ Treasury LSF/CBAx, Stats NZ environmental-economic accounts, and SEEA EA; do not claim replacement.</w:t>
            </w:r>
          </w:p>
        </w:tc>
        <w:tc>
          <w:tcPr>
            <w:tcW w:type="dxa" w:w="2880"/>
            <w:vAlign w:val="center"/>
          </w:tcPr>
          <w:p>
            <w:pPr>
              <w:spacing w:after="20" w:before="20"/>
            </w:pPr>
            <w:r/>
            <w:r>
              <w:rPr>
                <w:rFonts w:ascii="Aptos" w:hAnsi="Aptos"/>
                <w:b w:val="0"/>
                <w:sz w:val="16"/>
              </w:rPr>
              <w:t>Tests incremental usefulness against established tools.</w:t>
            </w:r>
          </w:p>
        </w:tc>
      </w:tr>
      <w:tr>
        <w:trPr>
          <w:cantSplit/>
        </w:trPr>
        <w:tc>
          <w:tcPr>
            <w:tcW w:type="dxa" w:w="1944"/>
            <w:vAlign w:val="center"/>
            <w:shd w:fill="F1F5F9"/>
          </w:tcPr>
          <w:p>
            <w:pPr>
              <w:spacing w:after="20" w:before="20"/>
            </w:pPr>
            <w:r/>
            <w:r>
              <w:rPr>
                <w:rFonts w:ascii="Aptos" w:hAnsi="Aptos"/>
                <w:b w:val="0"/>
                <w:sz w:val="16"/>
              </w:rPr>
              <w:t>Privacy/publication</w:t>
            </w:r>
          </w:p>
        </w:tc>
        <w:tc>
          <w:tcPr>
            <w:tcW w:type="dxa" w:w="4896"/>
            <w:vAlign w:val="center"/>
            <w:shd w:fill="F1F5F9"/>
          </w:tcPr>
          <w:p>
            <w:pPr>
              <w:spacing w:after="20" w:before="20"/>
            </w:pPr>
            <w:r/>
            <w:r>
              <w:rPr>
                <w:rFonts w:ascii="Aptos" w:hAnsi="Aptos"/>
                <w:b w:val="0"/>
                <w:sz w:val="16"/>
              </w:rPr>
              <w:t>Maintain private source master; release only reviewed derivatives with metadata and context checks.</w:t>
            </w:r>
          </w:p>
        </w:tc>
        <w:tc>
          <w:tcPr>
            <w:tcW w:type="dxa" w:w="2880"/>
            <w:vAlign w:val="center"/>
            <w:shd w:fill="F1F5F9"/>
          </w:tcPr>
          <w:p>
            <w:pPr>
              <w:spacing w:after="20" w:before="20"/>
            </w:pPr>
            <w:r/>
            <w:r>
              <w:rPr>
                <w:rFonts w:ascii="Aptos" w:hAnsi="Aptos"/>
                <w:b w:val="0"/>
                <w:sz w:val="16"/>
              </w:rPr>
              <w:t>Anonymous intent is not equivalent to anonymous file.</w:t>
            </w:r>
          </w:p>
        </w:tc>
      </w:tr>
    </w:tbl>
    <w:p/>
    <w:p>
      <w:pPr>
        <w:pStyle w:val="Heading1"/>
      </w:pPr>
      <w:r>
        <w:t>6. Experimental plan: the next valid test</w:t>
      </w:r>
    </w:p>
    <w:p>
      <w:r>
        <w:t>We should not begin by selecting a live political conclusion and asking whether CASCADE agrees with it. Begin with a frozen test set whose expected dependency impacts can be independently labelled, then add a balanced policy corpus.</w:t>
      </w:r>
    </w:p>
    <w:p>
      <w:pPr>
        <w:pStyle w:val="ListNumber"/>
        <w:spacing w:after="40"/>
      </w:pPr>
      <w:r>
        <w:t>Freeze 30–50 artificial but realistic claim graphs containing direct dependencies, transitive dependencies, irrelevant edits, source withdrawals, mixed evidence, contradictions, value conflicts, cycles and missing references. Have two reviewers independently label which blocks require review and reconcile disagreements before testing.</w:t>
      </w:r>
    </w:p>
    <w:p>
      <w:pPr>
        <w:pStyle w:val="ListNumber"/>
        <w:spacing w:after="40"/>
      </w:pPr>
      <w:r>
        <w:t>Compare three conditions using the same inputs: A) static evidence ledger plus manual search; B) explicit dependency graph with human review queue; C) a future metric-triggered cascade only once AURA is formally specified.</w:t>
      </w:r>
    </w:p>
    <w:p>
      <w:pPr>
        <w:pStyle w:val="ListNumber"/>
        <w:spacing w:after="40"/>
      </w:pPr>
      <w:r>
        <w:t>Pre-register precision and recall of review alerts, missed material dependencies, irrelevant alerts, false automatic status changes, provenance completeness, review time, inter-reviewer agreement and failure under adversarial/injection cases.</w:t>
      </w:r>
    </w:p>
    <w:p>
      <w:pPr>
        <w:pStyle w:val="ListNumber"/>
        <w:spacing w:after="40"/>
      </w:pPr>
      <w:r>
        <w:t>Set hard acceptance criteria before seeing results. Minimum safety gate: zero unlogged status changes; zero automatic truth changes based only on values; complete provenance for all adjudicated claims; contradicted evidence remains visible.</w:t>
      </w:r>
    </w:p>
    <w:p>
      <w:pPr>
        <w:pStyle w:val="ListNumber"/>
        <w:spacing w:after="40"/>
      </w:pPr>
      <w:r>
        <w:t>Only after passing synthetic tests, run a case study on a bounded New Zealand question where evidence, affected communities, jurisdiction and outcomes can be specified. A possible first domain is ecological accounting because SEEA EA and Treasury tools provide traceable comparators.</w:t>
      </w:r>
    </w:p>
    <w:p>
      <w:pPr>
        <w:pStyle w:val="ListNumber"/>
        <w:spacing w:after="40"/>
      </w:pPr>
      <w:r>
        <w:t>Record negative and null results. If B performs as well as C, the simpler review queue may be the right initial product. If A performs as well as B, the dependency graph may not yet justify its complexity.</w:t>
      </w:r>
    </w:p>
    <w:p>
      <w:pPr>
        <w:pStyle w:val="Heading1"/>
      </w:pPr>
      <w:r>
        <w:t>7. Acceptance gates for the project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vAlign w:val="center"/>
            <w:shd w:fill="16324F"/>
          </w:tcPr>
          <w:p>
            <w:pPr>
              <w:spacing w:after="20" w:before="20"/>
            </w:pPr>
            <w:r/>
            <w:r>
              <w:rPr>
                <w:rFonts w:ascii="Aptos" w:hAnsi="Aptos"/>
                <w:b/>
                <w:color w:val="FFFFFF"/>
                <w:sz w:val="16"/>
              </w:rPr>
              <w:t>Gate</w:t>
            </w:r>
          </w:p>
        </w:tc>
        <w:tc>
          <w:tcPr>
            <w:tcW w:type="dxa" w:w="5400"/>
            <w:vAlign w:val="center"/>
            <w:shd w:fill="16324F"/>
          </w:tcPr>
          <w:p>
            <w:pPr>
              <w:spacing w:after="20" w:before="20"/>
            </w:pPr>
            <w:r/>
            <w:r>
              <w:rPr>
                <w:rFonts w:ascii="Aptos" w:hAnsi="Aptos"/>
                <w:b/>
                <w:color w:val="FFFFFF"/>
                <w:sz w:val="16"/>
              </w:rPr>
              <w:t>Pass criterion</w:t>
            </w:r>
          </w:p>
        </w:tc>
        <w:tc>
          <w:tcPr>
            <w:tcW w:type="dxa" w:w="2232"/>
            <w:vAlign w:val="center"/>
            <w:shd w:fill="16324F"/>
          </w:tcPr>
          <w:p>
            <w:pPr>
              <w:spacing w:after="20" w:before="20"/>
            </w:pPr>
            <w:r/>
            <w:r>
              <w:rPr>
                <w:rFonts w:ascii="Aptos" w:hAnsi="Aptos"/>
                <w:b/>
                <w:color w:val="FFFFFF"/>
                <w:sz w:val="16"/>
              </w:rPr>
              <w:t>Current status</w:t>
            </w:r>
          </w:p>
        </w:tc>
      </w:tr>
      <w:tr>
        <w:trPr>
          <w:cantSplit/>
        </w:trPr>
        <w:tc>
          <w:tcPr>
            <w:tcW w:type="dxa" w:w="2088"/>
            <w:vAlign w:val="center"/>
          </w:tcPr>
          <w:p>
            <w:pPr>
              <w:spacing w:after="20" w:before="20"/>
            </w:pPr>
            <w:r/>
            <w:r>
              <w:rPr>
                <w:rFonts w:ascii="Aptos" w:hAnsi="Aptos"/>
                <w:b w:val="0"/>
                <w:sz w:val="16"/>
              </w:rPr>
              <w:t>G1 — Source fidelity</w:t>
            </w:r>
          </w:p>
        </w:tc>
        <w:tc>
          <w:tcPr>
            <w:tcW w:type="dxa" w:w="5400"/>
            <w:vAlign w:val="center"/>
          </w:tcPr>
          <w:p>
            <w:pPr>
              <w:spacing w:after="20" w:before="20"/>
            </w:pPr>
            <w:r/>
            <w:r>
              <w:rPr>
                <w:rFonts w:ascii="Aptos" w:hAnsi="Aptos"/>
                <w:b w:val="0"/>
                <w:sz w:val="16"/>
              </w:rPr>
              <w:t>Each central source-derived claim has exact PDF page locator, source quote or faithful summary, and epistemic type.</w:t>
            </w:r>
          </w:p>
        </w:tc>
        <w:tc>
          <w:tcPr>
            <w:tcW w:type="dxa" w:w="2232"/>
            <w:vAlign w:val="center"/>
          </w:tcPr>
          <w:p>
            <w:pPr>
              <w:spacing w:after="20" w:before="20"/>
            </w:pPr>
            <w:r/>
            <w:r>
              <w:rPr>
                <w:rFonts w:ascii="Aptos" w:hAnsi="Aptos"/>
                <w:b w:val="0"/>
                <w:sz w:val="16"/>
              </w:rPr>
              <w:t>Partially met: this audit has page locators for major claims; line-level verification remains next.</w:t>
            </w:r>
          </w:p>
        </w:tc>
      </w:tr>
      <w:tr>
        <w:trPr>
          <w:cantSplit/>
        </w:trPr>
        <w:tc>
          <w:tcPr>
            <w:tcW w:type="dxa" w:w="2088"/>
            <w:vAlign w:val="center"/>
            <w:shd w:fill="F1F5F9"/>
          </w:tcPr>
          <w:p>
            <w:pPr>
              <w:spacing w:after="20" w:before="20"/>
            </w:pPr>
            <w:r/>
            <w:r>
              <w:rPr>
                <w:rFonts w:ascii="Aptos" w:hAnsi="Aptos"/>
                <w:b w:val="0"/>
                <w:sz w:val="16"/>
              </w:rPr>
              <w:t>G2 — Reproducible software behavior</w:t>
            </w:r>
          </w:p>
        </w:tc>
        <w:tc>
          <w:tcPr>
            <w:tcW w:type="dxa" w:w="5400"/>
            <w:vAlign w:val="center"/>
            <w:shd w:fill="F1F5F9"/>
          </w:tcPr>
          <w:p>
            <w:pPr>
              <w:spacing w:after="20" w:before="20"/>
            </w:pPr>
            <w:r/>
            <w:r>
              <w:rPr>
                <w:rFonts w:ascii="Aptos" w:hAnsi="Aptos"/>
                <w:b w:val="0"/>
                <w:sz w:val="16"/>
              </w:rPr>
              <w:t>Unit tests pass and behavior is documented.</w:t>
            </w:r>
          </w:p>
        </w:tc>
        <w:tc>
          <w:tcPr>
            <w:tcW w:type="dxa" w:w="2232"/>
            <w:vAlign w:val="center"/>
            <w:shd w:fill="F1F5F9"/>
          </w:tcPr>
          <w:p>
            <w:pPr>
              <w:spacing w:after="20" w:before="20"/>
            </w:pPr>
            <w:r/>
            <w:r>
              <w:rPr>
                <w:rFonts w:ascii="Aptos" w:hAnsi="Aptos"/>
                <w:b w:val="0"/>
                <w:sz w:val="16"/>
              </w:rPr>
              <w:t>Passed for 11 unit tests; limited to current code paths.</w:t>
            </w:r>
          </w:p>
        </w:tc>
      </w:tr>
      <w:tr>
        <w:trPr>
          <w:cantSplit/>
        </w:trPr>
        <w:tc>
          <w:tcPr>
            <w:tcW w:type="dxa" w:w="2088"/>
            <w:vAlign w:val="center"/>
          </w:tcPr>
          <w:p>
            <w:pPr>
              <w:spacing w:after="20" w:before="20"/>
            </w:pPr>
            <w:r/>
            <w:r>
              <w:rPr>
                <w:rFonts w:ascii="Aptos" w:hAnsi="Aptos"/>
                <w:b w:val="0"/>
                <w:sz w:val="16"/>
              </w:rPr>
              <w:t>G3 — Evidence discrimination</w:t>
            </w:r>
          </w:p>
        </w:tc>
        <w:tc>
          <w:tcPr>
            <w:tcW w:type="dxa" w:w="5400"/>
            <w:vAlign w:val="center"/>
          </w:tcPr>
          <w:p>
            <w:pPr>
              <w:spacing w:after="20" w:before="20"/>
            </w:pPr>
            <w:r/>
            <w:r>
              <w:rPr>
                <w:rFonts w:ascii="Aptos" w:hAnsi="Aptos"/>
                <w:b w:val="0"/>
                <w:sz w:val="16"/>
              </w:rPr>
              <w:t>System distinguishes normative commitments from empirical support and preserves counterevidence.</w:t>
            </w:r>
          </w:p>
        </w:tc>
        <w:tc>
          <w:tcPr>
            <w:tcW w:type="dxa" w:w="2232"/>
            <w:vAlign w:val="center"/>
          </w:tcPr>
          <w:p>
            <w:pPr>
              <w:spacing w:after="20" w:before="20"/>
            </w:pPr>
            <w:r/>
            <w:r>
              <w:rPr>
                <w:rFonts w:ascii="Aptos" w:hAnsi="Aptos"/>
                <w:b w:val="0"/>
                <w:sz w:val="16"/>
              </w:rPr>
              <w:t>Design rule specified; needs integration tests.</w:t>
            </w:r>
          </w:p>
        </w:tc>
      </w:tr>
      <w:tr>
        <w:trPr>
          <w:cantSplit/>
        </w:trPr>
        <w:tc>
          <w:tcPr>
            <w:tcW w:type="dxa" w:w="2088"/>
            <w:vAlign w:val="center"/>
            <w:shd w:fill="F1F5F9"/>
          </w:tcPr>
          <w:p>
            <w:pPr>
              <w:spacing w:after="20" w:before="20"/>
            </w:pPr>
            <w:r/>
            <w:r>
              <w:rPr>
                <w:rFonts w:ascii="Aptos" w:hAnsi="Aptos"/>
                <w:b w:val="0"/>
                <w:sz w:val="16"/>
              </w:rPr>
              <w:t>G4 — Quantitative metric validity</w:t>
            </w:r>
          </w:p>
        </w:tc>
        <w:tc>
          <w:tcPr>
            <w:tcW w:type="dxa" w:w="5400"/>
            <w:vAlign w:val="center"/>
            <w:shd w:fill="F1F5F9"/>
          </w:tcPr>
          <w:p>
            <w:pPr>
              <w:spacing w:after="20" w:before="20"/>
            </w:pPr>
            <w:r/>
            <w:r>
              <w:rPr>
                <w:rFonts w:ascii="Aptos" w:hAnsi="Aptos"/>
                <w:b w:val="0"/>
                <w:sz w:val="16"/>
              </w:rPr>
              <w:t>TE/VTR/PAI formulas and validation protocol exist; metric adds value beyond simple baselines.</w:t>
            </w:r>
          </w:p>
        </w:tc>
        <w:tc>
          <w:tcPr>
            <w:tcW w:type="dxa" w:w="2232"/>
            <w:vAlign w:val="center"/>
            <w:shd w:fill="F1F5F9"/>
          </w:tcPr>
          <w:p>
            <w:pPr>
              <w:spacing w:after="20" w:before="20"/>
            </w:pPr>
            <w:r/>
            <w:r>
              <w:rPr>
                <w:rFonts w:ascii="Aptos" w:hAnsi="Aptos"/>
                <w:b w:val="0"/>
                <w:sz w:val="16"/>
              </w:rPr>
              <w:t>Not met.</w:t>
            </w:r>
          </w:p>
        </w:tc>
      </w:tr>
      <w:tr>
        <w:trPr>
          <w:cantSplit/>
        </w:trPr>
        <w:tc>
          <w:tcPr>
            <w:tcW w:type="dxa" w:w="2088"/>
            <w:vAlign w:val="center"/>
          </w:tcPr>
          <w:p>
            <w:pPr>
              <w:spacing w:after="20" w:before="20"/>
            </w:pPr>
            <w:r/>
            <w:r>
              <w:rPr>
                <w:rFonts w:ascii="Aptos" w:hAnsi="Aptos"/>
                <w:b w:val="0"/>
                <w:sz w:val="16"/>
              </w:rPr>
              <w:t>G5 — Political symmetry</w:t>
            </w:r>
          </w:p>
        </w:tc>
        <w:tc>
          <w:tcPr>
            <w:tcW w:type="dxa" w:w="5400"/>
            <w:vAlign w:val="center"/>
          </w:tcPr>
          <w:p>
            <w:pPr>
              <w:spacing w:after="20" w:before="20"/>
            </w:pPr>
            <w:r/>
            <w:r>
              <w:rPr>
                <w:rFonts w:ascii="Aptos" w:hAnsi="Aptos"/>
                <w:b w:val="0"/>
                <w:sz w:val="16"/>
              </w:rPr>
              <w:t>Matched claims receive equivalent standards under source/party/framing changes.</w:t>
            </w:r>
          </w:p>
        </w:tc>
        <w:tc>
          <w:tcPr>
            <w:tcW w:type="dxa" w:w="2232"/>
            <w:vAlign w:val="center"/>
          </w:tcPr>
          <w:p>
            <w:pPr>
              <w:spacing w:after="20" w:before="20"/>
            </w:pPr>
            <w:r/>
            <w:r>
              <w:rPr>
                <w:rFonts w:ascii="Aptos" w:hAnsi="Aptos"/>
                <w:b w:val="0"/>
                <w:sz w:val="16"/>
              </w:rPr>
              <w:t>Not run.</w:t>
            </w:r>
          </w:p>
        </w:tc>
      </w:tr>
      <w:tr>
        <w:trPr>
          <w:cantSplit/>
        </w:trPr>
        <w:tc>
          <w:tcPr>
            <w:tcW w:type="dxa" w:w="2088"/>
            <w:vAlign w:val="center"/>
            <w:shd w:fill="F1F5F9"/>
          </w:tcPr>
          <w:p>
            <w:pPr>
              <w:spacing w:after="20" w:before="20"/>
            </w:pPr>
            <w:r/>
            <w:r>
              <w:rPr>
                <w:rFonts w:ascii="Aptos" w:hAnsi="Aptos"/>
                <w:b w:val="0"/>
                <w:sz w:val="16"/>
              </w:rPr>
              <w:t>G6 — Practical usefulness</w:t>
            </w:r>
          </w:p>
        </w:tc>
        <w:tc>
          <w:tcPr>
            <w:tcW w:type="dxa" w:w="5400"/>
            <w:vAlign w:val="center"/>
            <w:shd w:fill="F1F5F9"/>
          </w:tcPr>
          <w:p>
            <w:pPr>
              <w:spacing w:after="20" w:before="20"/>
            </w:pPr>
            <w:r/>
            <w:r>
              <w:rPr>
                <w:rFonts w:ascii="Aptos" w:hAnsi="Aptos"/>
                <w:b w:val="0"/>
                <w:sz w:val="16"/>
              </w:rPr>
              <w:t>Outperforms or clearly justifies complexity versus static ledger/manual workflow.</w:t>
            </w:r>
          </w:p>
        </w:tc>
        <w:tc>
          <w:tcPr>
            <w:tcW w:type="dxa" w:w="2232"/>
            <w:vAlign w:val="center"/>
            <w:shd w:fill="F1F5F9"/>
          </w:tcPr>
          <w:p>
            <w:pPr>
              <w:spacing w:after="20" w:before="20"/>
            </w:pPr>
            <w:r/>
            <w:r>
              <w:rPr>
                <w:rFonts w:ascii="Aptos" w:hAnsi="Aptos"/>
                <w:b w:val="0"/>
                <w:sz w:val="16"/>
              </w:rPr>
              <w:t>Not run.</w:t>
            </w:r>
          </w:p>
        </w:tc>
      </w:tr>
      <w:tr>
        <w:trPr>
          <w:cantSplit/>
        </w:trPr>
        <w:tc>
          <w:tcPr>
            <w:tcW w:type="dxa" w:w="2088"/>
            <w:vAlign w:val="center"/>
          </w:tcPr>
          <w:p>
            <w:pPr>
              <w:spacing w:after="20" w:before="20"/>
            </w:pPr>
            <w:r/>
            <w:r>
              <w:rPr>
                <w:rFonts w:ascii="Aptos" w:hAnsi="Aptos"/>
                <w:b w:val="0"/>
                <w:sz w:val="16"/>
              </w:rPr>
              <w:t>G7 — Privacy review</w:t>
            </w:r>
          </w:p>
        </w:tc>
        <w:tc>
          <w:tcPr>
            <w:tcW w:type="dxa" w:w="5400"/>
            <w:vAlign w:val="center"/>
          </w:tcPr>
          <w:p>
            <w:pPr>
              <w:spacing w:after="20" w:before="20"/>
            </w:pPr>
            <w:r/>
            <w:r>
              <w:rPr>
                <w:rFonts w:ascii="Aptos" w:hAnsi="Aptos"/>
                <w:b w:val="0"/>
                <w:sz w:val="16"/>
              </w:rPr>
              <w:t>Public artifacts contain only approved disclosures and have metadata/context risk reviewed.</w:t>
            </w:r>
          </w:p>
        </w:tc>
        <w:tc>
          <w:tcPr>
            <w:tcW w:type="dxa" w:w="2232"/>
            <w:vAlign w:val="center"/>
          </w:tcPr>
          <w:p>
            <w:pPr>
              <w:spacing w:after="20" w:before="20"/>
            </w:pPr>
            <w:r/>
            <w:r>
              <w:rPr>
                <w:rFonts w:ascii="Aptos" w:hAnsi="Aptos"/>
                <w:b w:val="0"/>
                <w:sz w:val="16"/>
              </w:rPr>
              <w:t>Not met for raw PDF; use reviewed derivative.</w:t>
            </w:r>
          </w:p>
        </w:tc>
      </w:tr>
    </w:tbl>
    <w:p/>
    <w:p>
      <w:pPr>
        <w:pStyle w:val="Heading1"/>
      </w:pPr>
      <w:r>
        <w:t>8. Immediate work plan</w:t>
      </w:r>
    </w:p>
    <w:p>
      <w:pPr>
        <w:pStyle w:val="ListBullet"/>
        <w:spacing w:after="40"/>
      </w:pPr>
      <w:r>
        <w:t>Finish a page-by-page source audit and preserve source quotations separately from reconstructed claims; attach a PDF hash and exact locators.</w:t>
      </w:r>
    </w:p>
    <w:p>
      <w:pPr>
        <w:pStyle w:val="ListBullet"/>
        <w:spacing w:after="40"/>
      </w:pPr>
      <w:r>
        <w:t>Add citation-backed external evidence records without overwriting the original source statements.</w:t>
      </w:r>
    </w:p>
    <w:p>
      <w:pPr>
        <w:pStyle w:val="ListBullet"/>
        <w:spacing w:after="40"/>
      </w:pPr>
      <w:r>
        <w:t>Create a “steelman and alternative hypotheses” set for T_001 and T_002, reviewed by someone with relevant economics expertise.</w:t>
      </w:r>
    </w:p>
    <w:p>
      <w:pPr>
        <w:pStyle w:val="ListBullet"/>
        <w:spacing w:after="40"/>
      </w:pPr>
      <w:r>
        <w:t>Write precise, independent metric specifications—or formally keep the metrics deferred while testing the simpler dependency graph.</w:t>
      </w:r>
    </w:p>
    <w:p>
      <w:pPr>
        <w:pStyle w:val="ListBullet"/>
        <w:spacing w:after="40"/>
      </w:pPr>
      <w:r>
        <w:t>Build the 30–50 graph benchmark and label it before running the system.</w:t>
      </w:r>
    </w:p>
    <w:p>
      <w:pPr>
        <w:pStyle w:val="ListBullet"/>
        <w:spacing w:after="40"/>
      </w:pPr>
      <w:r>
        <w:t>Run blind, matched-pair neutrality tests with swapped labels and competing value profiles.</w:t>
      </w:r>
    </w:p>
    <w:p>
      <w:pPr>
        <w:pStyle w:val="ListBullet"/>
        <w:spacing w:after="40"/>
      </w:pPr>
      <w:r>
        <w:t>Only then select a substantive New Zealand policy case with neutral, predeclared criteria.</w:t>
      </w:r>
    </w:p>
    <w:p>
      <w:pPr>
        <w:pStyle w:val="Heading1"/>
      </w:pPr>
      <w:r>
        <w:t>9. Source register</w:t>
      </w:r>
    </w:p>
    <w:p>
      <w:pPr>
        <w:spacing w:after="30" w:line="228" w:lineRule="auto"/>
      </w:pPr>
      <w:r>
        <w:rPr>
          <w:b/>
          <w:sz w:val="16"/>
        </w:rPr>
        <w:t xml:space="preserve">[EXT-001]. New Zealand Treasury, Our Living Standards Framework. </w:t>
      </w:r>
      <w:r>
        <w:rPr>
          <w:sz w:val="16"/>
        </w:rPr>
        <w:t xml:space="preserve">Official page on wellbeing, distribution, resilience, productivity, sustainability and complementary frameworks. </w:t>
      </w:r>
      <w:r>
        <w:rPr>
          <w:color w:val="005A6E"/>
          <w:sz w:val="14"/>
        </w:rPr>
        <w:t>https://www.treasury.govt.nz/information-and-services/nz-economy/higher-living-standards/our-living-standards-framework</w:t>
      </w:r>
    </w:p>
    <w:p>
      <w:pPr>
        <w:spacing w:after="30" w:line="228" w:lineRule="auto"/>
      </w:pPr>
      <w:r>
        <w:rPr>
          <w:b/>
          <w:sz w:val="16"/>
        </w:rPr>
        <w:t xml:space="preserve">[EXT-002]. New Zealand Treasury, The Treasury’s CBAx Tool. </w:t>
      </w:r>
      <w:r>
        <w:rPr>
          <w:sz w:val="16"/>
        </w:rPr>
        <w:t xml:space="preserve">Official policy-analysis and cost-benefit tool documentation. </w:t>
      </w:r>
      <w:r>
        <w:rPr>
          <w:color w:val="005A6E"/>
          <w:sz w:val="14"/>
        </w:rPr>
        <w:t>https://www.treasury.govt.nz/information-and-services/public-sector-leadership/investment-management/investment-planning/treasurys-cbax-tool</w:t>
      </w:r>
    </w:p>
    <w:p>
      <w:pPr>
        <w:spacing w:after="30" w:line="228" w:lineRule="auto"/>
      </w:pPr>
      <w:r>
        <w:rPr>
          <w:b/>
          <w:sz w:val="16"/>
        </w:rPr>
        <w:t xml:space="preserve">[EXT-003]. UN System of Environmental-Economic Accounting, Ecosystem Accounting. </w:t>
      </w:r>
      <w:r>
        <w:rPr>
          <w:sz w:val="16"/>
        </w:rPr>
        <w:t xml:space="preserve">International statistical framework adopted by UN Statistical Commission in 2021. </w:t>
      </w:r>
      <w:r>
        <w:rPr>
          <w:color w:val="005A6E"/>
          <w:sz w:val="14"/>
        </w:rPr>
        <w:t>https://seea.un.org/en/methodology/ecosystem-accounting</w:t>
      </w:r>
    </w:p>
    <w:p>
      <w:pPr>
        <w:spacing w:after="30" w:line="228" w:lineRule="auto"/>
      </w:pPr>
      <w:r>
        <w:rPr>
          <w:b/>
          <w:sz w:val="16"/>
        </w:rPr>
        <w:t xml:space="preserve">[EXT-004]. UN SEEA, Monetary valuation for ecosystem services and assets. </w:t>
      </w:r>
      <w:r>
        <w:rPr>
          <w:sz w:val="16"/>
        </w:rPr>
        <w:t xml:space="preserve">Technical guidance notes limits and continuing development of valuation. </w:t>
      </w:r>
      <w:r>
        <w:rPr>
          <w:color w:val="005A6E"/>
          <w:sz w:val="14"/>
        </w:rPr>
        <w:t>https://seea.un.org/en/monetary-valuation-ecosystem-services-and-assets-ecosystem-accounting</w:t>
      </w:r>
    </w:p>
    <w:p>
      <w:pPr>
        <w:spacing w:after="30" w:line="228" w:lineRule="auto"/>
      </w:pPr>
      <w:r>
        <w:rPr>
          <w:b/>
          <w:sz w:val="16"/>
        </w:rPr>
        <w:t xml:space="preserve">[EXT-005]. O’Boyle, Patel &amp; Gonzalez-Mulé (2016), Employee ownership and firm performance: a meta-analysis. </w:t>
      </w:r>
      <w:r>
        <w:rPr>
          <w:sz w:val="16"/>
        </w:rPr>
        <w:t xml:space="preserve">Meta-analysis of 102 samples / 56,984 firms; reported small positive firm-performance association. </w:t>
      </w:r>
      <w:r>
        <w:rPr>
          <w:color w:val="005A6E"/>
          <w:sz w:val="14"/>
        </w:rPr>
        <w:t>https://doi.org/10.1111/1748-8583.12115</w:t>
      </w:r>
    </w:p>
    <w:p>
      <w:pPr>
        <w:spacing w:after="30" w:line="228" w:lineRule="auto"/>
      </w:pPr>
      <w:r>
        <w:rPr>
          <w:b/>
          <w:sz w:val="16"/>
        </w:rPr>
        <w:t xml:space="preserve">[EXT-006]. Mirabel (2025/2026), Entry resources and the survival of worker-owned firms. </w:t>
      </w:r>
      <w:r>
        <w:rPr>
          <w:sz w:val="16"/>
        </w:rPr>
        <w:t xml:space="preserve">Matched observational analysis of six cohorts of French firms; results conditional on entry resources and sector. </w:t>
      </w:r>
      <w:r>
        <w:rPr>
          <w:color w:val="005A6E"/>
          <w:sz w:val="14"/>
        </w:rPr>
        <w:t>https://doi.org/10.1111/apce.70019</w:t>
      </w:r>
    </w:p>
    <w:p>
      <w:pPr>
        <w:spacing w:after="30" w:line="228" w:lineRule="auto"/>
      </w:pPr>
      <w:r>
        <w:rPr>
          <w:b/>
          <w:sz w:val="16"/>
        </w:rPr>
        <w:t xml:space="preserve">[EXT-007]. Sikos &amp; Philp (2020), Provenance-Aware Knowledge Representation: A Survey. </w:t>
      </w:r>
      <w:r>
        <w:rPr>
          <w:sz w:val="16"/>
        </w:rPr>
        <w:t xml:space="preserve">Survey of provenance-aware knowledge representation methods. </w:t>
      </w:r>
      <w:r>
        <w:rPr>
          <w:color w:val="005A6E"/>
          <w:sz w:val="14"/>
        </w:rPr>
        <w:t>https://link.springer.com/article/10.1007/s41019-020-00118-0</w:t>
      </w:r>
    </w:p>
    <w:p>
      <w:pPr>
        <w:spacing w:after="30" w:line="228" w:lineRule="auto"/>
      </w:pPr>
      <w:r>
        <w:rPr>
          <w:b/>
          <w:sz w:val="16"/>
        </w:rPr>
        <w:t xml:space="preserve">[EXT-008]. OECD, Public policy monitoring and evaluation. </w:t>
      </w:r>
      <w:r>
        <w:rPr>
          <w:sz w:val="16"/>
        </w:rPr>
        <w:t xml:space="preserve">Official overview of evidence, accountability and policy evaluation. </w:t>
      </w:r>
      <w:r>
        <w:rPr>
          <w:color w:val="005A6E"/>
          <w:sz w:val="14"/>
        </w:rPr>
        <w:t>https://www.oecd.org/en/topics/public-policy-monitoring-and-evaluation.html</w:t>
      </w:r>
    </w:p>
    <w:p>
      <w:pPr>
        <w:spacing w:after="30" w:line="228" w:lineRule="auto"/>
      </w:pPr>
      <w:r>
        <w:rPr>
          <w:b/>
          <w:sz w:val="16"/>
        </w:rPr>
        <w:t xml:space="preserve">[EXT-009]. García-Hombrados et al. (2026), Ideological Alignment and Evidence-Based Policy Adoption. </w:t>
      </w:r>
      <w:r>
        <w:rPr>
          <w:sz w:val="16"/>
        </w:rPr>
        <w:t xml:space="preserve">Randomized field experiment relevant to source/framing effects; interpretation remains setting-specific. </w:t>
      </w:r>
      <w:r>
        <w:rPr>
          <w:color w:val="005A6E"/>
          <w:sz w:val="14"/>
        </w:rPr>
        <w:t>https://www.aeaweb.org/articles?id=10.1257/aer.20240673</w:t>
      </w:r>
    </w:p>
    <w:p>
      <w:pPr>
        <w:spacing w:after="30" w:line="228" w:lineRule="auto"/>
      </w:pPr>
      <w:r>
        <w:rPr>
          <w:b/>
          <w:sz w:val="16"/>
        </w:rPr>
        <w:t xml:space="preserve">[EXT-010]. Cooperative Business New Zealand, New Zealand Cooperative Economy Report 2025. </w:t>
      </w:r>
      <w:r>
        <w:rPr>
          <w:sz w:val="16"/>
        </w:rPr>
        <w:t xml:space="preserve">Industry-produced report; use as contextual source and triangulate independently. </w:t>
      </w:r>
      <w:r>
        <w:rPr>
          <w:color w:val="005A6E"/>
          <w:sz w:val="14"/>
        </w:rPr>
        <w:t>https://nz.coop/wp-content/uploads/2025/09/NZ-Cooperative-Economy-Report-2025.pdf</w:t>
      </w:r>
    </w:p>
    <w:p>
      <w:pPr>
        <w:spacing w:after="30" w:line="228" w:lineRule="auto"/>
      </w:pPr>
      <w:r>
        <w:rPr>
          <w:b/>
          <w:sz w:val="16"/>
        </w:rPr>
        <w:t xml:space="preserve">[EXT-011]. Stats NZ, Environmental-economic accounts: Data to 2024. </w:t>
      </w:r>
      <w:r>
        <w:rPr>
          <w:sz w:val="16"/>
        </w:rPr>
        <w:t xml:space="preserve">Released 5 March 2026. Accounts include environmental protection expenditure, environmental taxes, marine economy and renewable-energy stock; the expenditure account is experimental. </w:t>
      </w:r>
      <w:r>
        <w:rPr>
          <w:color w:val="005A6E"/>
          <w:sz w:val="14"/>
        </w:rPr>
        <w:t>https://www.stats.govt.nz/information-releases/environmental-economic-accounts-data-to-2024/</w:t>
      </w:r>
    </w:p>
    <w:p>
      <w:r>
        <w:t>Source audit limitation: this was a targeted first-pass literature search, not a comprehensive systematic review. Access date for online sources: 14 October 2026. Claims from the original PDF are referenced to page numbers; a second pass should verify exact quotes against rendered pages and add line/region locators where practical.</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Source Fidelity &amp; Evidence Audit  •  14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ANON POLITICIAN  |  RESEARCH WORKING PAPER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4495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