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报告生成场景算力建议说明（客户版）</w:t>
      </w:r>
    </w:p>
    <w:p>
      <w:pPr>
        <w:pStyle w:val="Subtitle"/>
        <w:jc w:val="center"/>
      </w:pPr>
      <w:r>
        <w:t>面向客户的阶段性部署建议：为何现阶段可先用 4×RTX 3090 完成测试，但正式生产建议采用 H100 级算力</w:t>
      </w:r>
    </w:p>
    <w:p>
      <w:pPr>
        <w:pStyle w:val="Heading1"/>
      </w:pPr>
      <w:r>
        <w:t>1. 执行摘要</w:t>
      </w:r>
    </w:p>
    <w:p>
      <w:pPr>
        <w:spacing w:after="80"/>
      </w:pPr>
      <w:r>
        <w:t>本说明面向客户，回答两个核心问题：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既然 4×RTX 3090 在实际生产条件下几乎不可用，为什么当前测试阶段仍可以先用客户现有的 4×3090 部署？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未来若要把报告生成能力从“可测试”提升到“可生产”，大致需要什么级别的算力，分别能达到什么效果？</w:t>
      </w:r>
    </w:p>
    <w:p>
      <w:r>
        <w:t>我们的结论是：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4×RTX 3090 可以继续用于当前测试阶段，因为测试阶段的目标是验证部署链路、业务流程、模型适配、提示词、RAG 与工具调用是否跑通，而不是承诺正式生产 SLA。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4×RTX 3090 不适合作为正式生产主力算力。在报告生成这类长上下文、多阶段、输入远大于输出的任务中，3090 的显存容量、显存带宽、KV Cache 裕量和多卡通信能力都不足以支撑稳定生产。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4×H100 可以作为正式生产的入门级推荐配置。如果目标是稳定支撑在线报告生成、较长上下文和多用户并发，H100 级别才进入“可生产”的区间。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若未来目标继续提升到更大上下文、更低延迟、更高并发，建议进一步考虑 8×H100 或 H200/B200 级别的方案。</w:t>
      </w:r>
    </w:p>
    <w:p>
      <w:pPr>
        <w:pStyle w:val="Heading1"/>
      </w:pPr>
      <w:r>
        <w:t>2. 本说明的使用边界</w:t>
      </w:r>
    </w:p>
    <w:p>
      <w:r>
        <w:t>本文是面向客户的阶段性算力建议，核心用途是解释“测试阶段能否先用现有 4×3090”、“正式生产建议采用什么级别的算力”。</w:t>
      </w:r>
    </w:p>
    <w:p>
      <w:r>
        <w:t>因此，本文重点回答的是：哪类算力适合测试/联调/验收，哪类算力适合正式生产，以及不同算力大致能达到什么服务效果。</w:t>
      </w:r>
    </w:p>
    <w:p>
      <w:r>
        <w:t>本文不是正式 benchmark 报告，也不是采购合同附件。文中的速度、并发和适用范围属于工程测算，用于做容量级别判断与方案沟通。</w:t>
      </w:r>
    </w:p>
    <w:p>
      <w:pPr>
        <w:pStyle w:val="Heading1"/>
      </w:pPr>
      <w:r>
        <w:t>3. 为什么当前测试阶段可以继续使用现有 4×RTX 3090</w:t>
      </w:r>
    </w:p>
    <w:p>
      <w:pPr>
        <w:pStyle w:val="Heading2"/>
      </w:pPr>
      <w:r>
        <w:t>3.1 测试阶段的目标不是“顶住生产流量”，而是“验证系统是否跑通”</w:t>
      </w:r>
    </w:p>
    <w:p>
      <w:r>
        <w:t>在当前阶段，客户更关心的是：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部署是否成功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模型是否能稳定启动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报告生成链路是否跑通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RAG、工具调用、模板拼装、后处理是否正确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结果质量是否满足验收预期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提示词、流程编排和业务规则是否需要调整</w:t>
      </w:r>
    </w:p>
    <w:p>
      <w:r>
        <w:t>这些工作对算力的要求，远低于正式生产。</w:t>
      </w:r>
    </w:p>
    <w:p>
      <w:pPr>
        <w:pStyle w:val="Heading2"/>
      </w:pPr>
      <w:r>
        <w:t>3.2 现有 4×3090 可以承担“低并发、受控条件下”的测试任务</w:t>
      </w:r>
    </w:p>
    <w:p>
      <w:r>
        <w:t>在对上下文长度、并发数和返回方式做控制的前提下，现有 4×3090 可以用于：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功能联调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结果验收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业务流程验证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小范围 Demo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内部试用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报告模板与提示词优化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RAG/知识库链路调试</w:t>
      </w:r>
    </w:p>
    <w:p>
      <w:r>
        <w:t>更具体地说，测试阶段通常可以接受以下限制：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控制同时生成的报告任务数量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对超长报告采用异步队列，而不是要求全部同步返回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对上下文长度做上限控制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对模型采用量化部署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允许在测试阶段接受更高的等待时间</w:t>
      </w:r>
    </w:p>
    <w:p>
      <w:r>
        <w:t>因此，“能继续测试”与“能正式生产”并不矛盾。</w:t>
      </w:r>
    </w:p>
    <w:p>
      <w:pPr>
        <w:pStyle w:val="Heading2"/>
      </w:pPr>
      <w:r>
        <w:t>3.3 从投入产出看，测试阶段继续利用现有 4×3090 是合理的</w:t>
      </w:r>
    </w:p>
    <w:p>
      <w:r>
        <w:t>如果客户当前已经拥有 4×3090，那么在测试阶段继续使用这批硬件，能以较低新增投入完成部署环境准备、模型兼容性验证、应用链路打通、业务规则调优，以及测试数据与验收流程沉淀。这意味着客户可以先完成“业务可行性验证”和“交付链路验证”，再决定何时切换到正式生产级算力。</w:t>
      </w:r>
    </w:p>
    <w:p>
      <w:pPr>
        <w:pStyle w:val="Heading1"/>
      </w:pPr>
      <w:r>
        <w:t>4. 为什么 4×RTX 3090 在实际生产条件下几乎不可用</w:t>
      </w:r>
    </w:p>
    <w:p>
      <w:r>
        <w:t>报告生成不同于普通短问答。它通常同时具备输入长、上下文长、多阶段调用、RAG 参与度高、对稳定性要求高，以及对平均耗时和 P95 耗时更敏感等特点。</w:t>
      </w:r>
    </w:p>
    <w:p>
      <w:r>
        <w:t>在这种场景下，真正的压力往往不是“模型能不能启动”，而是：长上下文下 KV Cache 能否放得下、多个报告同时生成时显存是否足够、输入 prefill 的吞吐是否足够、多卡通信开销是否会拖慢整体速度，以及是否能在长时间持续运行下保持稳定。</w:t>
      </w:r>
    </w:p>
    <w:p>
      <w:r>
        <w:t>对这一类任务，4×3090 的主要问题不是“完全跑不起来”，而是只能在很多前提限制下勉强运行：需要更激进的量化、更短的上下文上限、更严格的并发控制、更依赖异步队列，而且在长报告和批量报告场景下，稳定性和时延风险都更高。</w:t>
      </w:r>
    </w:p>
    <w:p>
      <w:r>
        <w:t>因此，从客户视角看，4×3090 的问题不是绝对性能低，而是“可用于生产的有效性能太低”。这会直接导致线上体验不稳定、可承诺的 SLA 很弱、运维和调优成本偏高，以及为了让 3090 勉强可用而付出的工程代价过大。</w:t>
      </w:r>
    </w:p>
    <w:p>
      <w:r>
        <w:t>所以它不适合作为正式生产主力算力。</w:t>
      </w:r>
    </w:p>
    <w:p>
      <w:pPr>
        <w:pStyle w:val="Heading1"/>
      </w:pPr>
      <w:r>
        <w:t>5. 4×RTX 3090 与 4×H100 的客户视角对比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维度</w:t>
            </w:r>
          </w:p>
        </w:tc>
        <w:tc>
          <w:tcPr>
            <w:tcW w:type="dxa" w:w="3211"/>
          </w:tcPr>
          <w:p>
            <w:r>
              <w:t>4×RTX 3090</w:t>
            </w:r>
          </w:p>
        </w:tc>
        <w:tc>
          <w:tcPr>
            <w:tcW w:type="dxa" w:w="3211"/>
          </w:tcPr>
          <w:p>
            <w:r>
              <w:t>4×H100</w:t>
            </w:r>
          </w:p>
        </w:tc>
      </w:tr>
      <w:tr>
        <w:tc>
          <w:tcPr>
            <w:tcW w:type="dxa" w:w="3211"/>
          </w:tcPr>
          <w:p>
            <w:r>
              <w:t>建议定位</w:t>
            </w:r>
          </w:p>
        </w:tc>
        <w:tc>
          <w:tcPr>
            <w:tcW w:type="dxa" w:w="3211"/>
          </w:tcPr>
          <w:p>
            <w:r>
              <w:t>测试、联调、验收、Demo、受控试用</w:t>
            </w:r>
          </w:p>
        </w:tc>
        <w:tc>
          <w:tcPr>
            <w:tcW w:type="dxa" w:w="3211"/>
          </w:tcPr>
          <w:p>
            <w:r>
              <w:t>正式生产入门配置</w:t>
            </w:r>
          </w:p>
        </w:tc>
      </w:tr>
      <w:tr>
        <w:tc>
          <w:tcPr>
            <w:tcW w:type="dxa" w:w="3211"/>
          </w:tcPr>
          <w:p>
            <w:r>
              <w:t>是否建议承接生产主流量</w:t>
            </w:r>
          </w:p>
        </w:tc>
        <w:tc>
          <w:tcPr>
            <w:tcW w:type="dxa" w:w="3211"/>
          </w:tcPr>
          <w:p>
            <w:r>
              <w:t>不建议</w:t>
            </w:r>
          </w:p>
        </w:tc>
        <w:tc>
          <w:tcPr>
            <w:tcW w:type="dxa" w:w="3211"/>
          </w:tcPr>
          <w:p>
            <w:r>
              <w:t>建议</w:t>
            </w:r>
          </w:p>
        </w:tc>
      </w:tr>
      <w:tr>
        <w:tc>
          <w:tcPr>
            <w:tcW w:type="dxa" w:w="3211"/>
          </w:tcPr>
          <w:p>
            <w:r>
              <w:t>适合的返回方式</w:t>
            </w:r>
          </w:p>
        </w:tc>
        <w:tc>
          <w:tcPr>
            <w:tcW w:type="dxa" w:w="3211"/>
          </w:tcPr>
          <w:p>
            <w:r>
              <w:t>以异步队列为主，同步能力有限</w:t>
            </w:r>
          </w:p>
        </w:tc>
        <w:tc>
          <w:tcPr>
            <w:tcW w:type="dxa" w:w="3211"/>
          </w:tcPr>
          <w:p>
            <w:r>
              <w:t>可同时支持同步和异步</w:t>
            </w:r>
          </w:p>
        </w:tc>
      </w:tr>
      <w:tr>
        <w:tc>
          <w:tcPr>
            <w:tcW w:type="dxa" w:w="3211"/>
          </w:tcPr>
          <w:p>
            <w:r>
              <w:t>长上下文能力</w:t>
            </w:r>
          </w:p>
        </w:tc>
        <w:tc>
          <w:tcPr>
            <w:tcW w:type="dxa" w:w="3211"/>
          </w:tcPr>
          <w:p>
            <w:r>
              <w:t>较弱，需严格限制</w:t>
            </w:r>
          </w:p>
        </w:tc>
        <w:tc>
          <w:tcPr>
            <w:tcW w:type="dxa" w:w="3211"/>
          </w:tcPr>
          <w:p>
            <w:r>
              <w:t>明显更强</w:t>
            </w:r>
          </w:p>
        </w:tc>
      </w:tr>
      <w:tr>
        <w:tc>
          <w:tcPr>
            <w:tcW w:type="dxa" w:w="3211"/>
          </w:tcPr>
          <w:p>
            <w:r>
              <w:t>报告生成并发能力</w:t>
            </w:r>
          </w:p>
        </w:tc>
        <w:tc>
          <w:tcPr>
            <w:tcW w:type="dxa" w:w="3211"/>
          </w:tcPr>
          <w:p>
            <w:r>
              <w:t>仅适合低并发、强限流</w:t>
            </w:r>
          </w:p>
        </w:tc>
        <w:tc>
          <w:tcPr>
            <w:tcW w:type="dxa" w:w="3211"/>
          </w:tcPr>
          <w:p>
            <w:r>
              <w:t>可支撑稳定的中等并发生产</w:t>
            </w:r>
          </w:p>
        </w:tc>
      </w:tr>
      <w:tr>
        <w:tc>
          <w:tcPr>
            <w:tcW w:type="dxa" w:w="3211"/>
          </w:tcPr>
          <w:p>
            <w:r>
              <w:t>运行稳定性</w:t>
            </w:r>
          </w:p>
        </w:tc>
        <w:tc>
          <w:tcPr>
            <w:tcW w:type="dxa" w:w="3211"/>
          </w:tcPr>
          <w:p>
            <w:r>
              <w:t>对配置与负载较敏感</w:t>
            </w:r>
          </w:p>
        </w:tc>
        <w:tc>
          <w:tcPr>
            <w:tcW w:type="dxa" w:w="3211"/>
          </w:tcPr>
          <w:p>
            <w:r>
              <w:t>更容易做稳定生产</w:t>
            </w:r>
          </w:p>
        </w:tc>
      </w:tr>
      <w:tr>
        <w:tc>
          <w:tcPr>
            <w:tcW w:type="dxa" w:w="3211"/>
          </w:tcPr>
          <w:p>
            <w:r>
              <w:t>工程改造成本</w:t>
            </w:r>
          </w:p>
        </w:tc>
        <w:tc>
          <w:tcPr>
            <w:tcW w:type="dxa" w:w="3211"/>
          </w:tcPr>
          <w:p>
            <w:r>
              <w:t>较高，需要较多限制和保护策略</w:t>
            </w:r>
          </w:p>
        </w:tc>
        <w:tc>
          <w:tcPr>
            <w:tcW w:type="dxa" w:w="3211"/>
          </w:tcPr>
          <w:p>
            <w:r>
              <w:t>较低，更容易达到可交付状态</w:t>
            </w:r>
          </w:p>
        </w:tc>
      </w:tr>
      <w:tr>
        <w:tc>
          <w:tcPr>
            <w:tcW w:type="dxa" w:w="3211"/>
          </w:tcPr>
          <w:p>
            <w:r>
              <w:t>短期投入</w:t>
            </w:r>
          </w:p>
        </w:tc>
        <w:tc>
          <w:tcPr>
            <w:tcW w:type="dxa" w:w="3211"/>
          </w:tcPr>
          <w:p>
            <w:r>
              <w:t>低（若客户已有设备）</w:t>
            </w:r>
          </w:p>
        </w:tc>
        <w:tc>
          <w:tcPr>
            <w:tcW w:type="dxa" w:w="3211"/>
          </w:tcPr>
          <w:p>
            <w:r>
              <w:t>高</w:t>
            </w:r>
          </w:p>
        </w:tc>
      </w:tr>
      <w:tr>
        <w:tc>
          <w:tcPr>
            <w:tcW w:type="dxa" w:w="3211"/>
          </w:tcPr>
          <w:p>
            <w:r>
              <w:t>生产有效性价比</w:t>
            </w:r>
          </w:p>
        </w:tc>
        <w:tc>
          <w:tcPr>
            <w:tcW w:type="dxa" w:w="3211"/>
          </w:tcPr>
          <w:p>
            <w:r>
              <w:t>低</w:t>
            </w:r>
          </w:p>
        </w:tc>
        <w:tc>
          <w:tcPr>
            <w:tcW w:type="dxa" w:w="3211"/>
          </w:tcPr>
          <w:p>
            <w:r>
              <w:t>高</w:t>
            </w:r>
          </w:p>
        </w:tc>
      </w:tr>
    </w:tbl>
    <w:p>
      <w:pPr>
        <w:pStyle w:val="Heading2"/>
      </w:pPr>
      <w:r>
        <w:t>5.1 性价比不能只看采购成本，还要看“可用于生产的有效吞吐”</w:t>
      </w:r>
    </w:p>
    <w:p>
      <w:r>
        <w:t>如果只看采购成本，4×3090 当然更便宜；但如果看“可用于生产的有效吞吐”和“可承诺的服务能力”，结论会反过来。</w:t>
      </w:r>
    </w:p>
    <w:p>
      <w:r>
        <w:t>对测试阶段：4×3090 的短期性价比高，因为能利用客户现有设备，快速完成验证。</w:t>
      </w:r>
    </w:p>
    <w:p>
      <w:r>
        <w:t>对正式生产：4×3090 的性价比低，因为它虽然便宜，但无法稳定承接目标场景；为了弥补能力缺口，需要付出额外工程复杂度，最终并不划算。</w:t>
      </w:r>
    </w:p>
    <w:p>
      <w:r>
        <w:t>对正式生产：4×H100 的采购成本更高，但能显著提高“有效可用能力”，因此生产阶段的综合性价比更高。</w:t>
      </w:r>
    </w:p>
    <w:p>
      <w:pPr>
        <w:pStyle w:val="Heading1"/>
      </w:pPr>
      <w:r>
        <w:t>6. 不同算力级别大致能达到什么效果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算力级别</w:t>
            </w:r>
          </w:p>
        </w:tc>
        <w:tc>
          <w:tcPr>
            <w:tcW w:type="dxa" w:w="2408"/>
          </w:tcPr>
          <w:p>
            <w:r>
              <w:t>建议角色</w:t>
            </w:r>
          </w:p>
        </w:tc>
        <w:tc>
          <w:tcPr>
            <w:tcW w:type="dxa" w:w="2408"/>
          </w:tcPr>
          <w:p>
            <w:r>
              <w:t>大致可达到的效果</w:t>
            </w:r>
          </w:p>
        </w:tc>
        <w:tc>
          <w:tcPr>
            <w:tcW w:type="dxa" w:w="2408"/>
          </w:tcPr>
          <w:p>
            <w:r>
              <w:t>适合场景</w:t>
            </w:r>
          </w:p>
        </w:tc>
      </w:tr>
      <w:tr>
        <w:tc>
          <w:tcPr>
            <w:tcW w:type="dxa" w:w="2408"/>
          </w:tcPr>
          <w:p>
            <w:r>
              <w:t>4×RTX 3090</w:t>
            </w:r>
          </w:p>
        </w:tc>
        <w:tc>
          <w:tcPr>
            <w:tcW w:type="dxa" w:w="2408"/>
          </w:tcPr>
          <w:p>
            <w:r>
              <w:t>测试/过渡节点</w:t>
            </w:r>
          </w:p>
        </w:tc>
        <w:tc>
          <w:tcPr>
            <w:tcW w:type="dxa" w:w="2408"/>
          </w:tcPr>
          <w:p>
            <w:r>
              <w:t>可完成部署验证、功能联调、结果验收、小范围 Demo；在强限制下支持低并发报告生成；超长报告更适合走异步</w:t>
            </w:r>
          </w:p>
        </w:tc>
        <w:tc>
          <w:tcPr>
            <w:tcW w:type="dxa" w:w="2408"/>
          </w:tcPr>
          <w:p>
            <w:r>
              <w:t>测试、联调、验收、PoC、内部试用</w:t>
            </w:r>
          </w:p>
        </w:tc>
      </w:tr>
      <w:tr>
        <w:tc>
          <w:tcPr>
            <w:tcW w:type="dxa" w:w="2408"/>
          </w:tcPr>
          <w:p>
            <w:r>
              <w:t>4×H100</w:t>
            </w:r>
          </w:p>
        </w:tc>
        <w:tc>
          <w:tcPr>
            <w:tcW w:type="dxa" w:w="2408"/>
          </w:tcPr>
          <w:p>
            <w:r>
              <w:t>正式生产入门配置</w:t>
            </w:r>
          </w:p>
        </w:tc>
        <w:tc>
          <w:tcPr>
            <w:tcW w:type="dxa" w:w="2408"/>
          </w:tcPr>
          <w:p>
            <w:r>
              <w:t>可稳定承接在线报告生成；可支持更长上下文、更高吞吐和更好的 P95 时延；能覆盖较明确的生产 SLA 诉求</w:t>
            </w:r>
          </w:p>
        </w:tc>
        <w:tc>
          <w:tcPr>
            <w:tcW w:type="dxa" w:w="2408"/>
          </w:tcPr>
          <w:p>
            <w:r>
              <w:t>正式生产、对外服务、在线生成</w:t>
            </w:r>
          </w:p>
        </w:tc>
      </w:tr>
      <w:tr>
        <w:tc>
          <w:tcPr>
            <w:tcW w:type="dxa" w:w="2408"/>
          </w:tcPr>
          <w:p>
            <w:r>
              <w:t>8×H100 或 H200/B200 级</w:t>
            </w:r>
          </w:p>
        </w:tc>
        <w:tc>
          <w:tcPr>
            <w:tcW w:type="dxa" w:w="2408"/>
          </w:tcPr>
          <w:p>
            <w:r>
              <w:t>增强型生产配置</w:t>
            </w:r>
          </w:p>
        </w:tc>
        <w:tc>
          <w:tcPr>
            <w:tcW w:type="dxa" w:w="2408"/>
          </w:tcPr>
          <w:p>
            <w:r>
              <w:t>更适合更高并发、更长上下文、更严格时延目标或更大客户规模；适合把同步体验和大批量任务同时做好</w:t>
            </w:r>
          </w:p>
        </w:tc>
        <w:tc>
          <w:tcPr>
            <w:tcW w:type="dxa" w:w="2408"/>
          </w:tcPr>
          <w:p>
            <w:r>
              <w:t>大规模生产、多租户、高峰负载、长报告密集场景</w:t>
            </w:r>
          </w:p>
        </w:tc>
      </w:tr>
    </w:tbl>
    <w:p>
      <w:pPr>
        <w:pStyle w:val="Heading2"/>
      </w:pPr>
      <w:r>
        <w:t>6.1 若目标只是“先把系统跑通”</w:t>
      </w:r>
    </w:p>
    <w:p>
      <w:r>
        <w:t>建议继续使用现有 4×3090，前提是明确其定位：不作为最终生产算力；以功能验证和业务联调为主；对并发和上下文做严格控制；以异步报告生成作为主要保障方式。</w:t>
      </w:r>
    </w:p>
    <w:p>
      <w:pPr>
        <w:pStyle w:val="Heading2"/>
      </w:pPr>
      <w:r>
        <w:t>6.2 若目标是“正式上线并可承诺服务能力”</w:t>
      </w:r>
    </w:p>
    <w:p>
      <w:r>
        <w:t>建议直接以 4×H100 作为起点。这一级别的意义不是“更快一点”，而是从根本上进入“可以稳定承接生产工作负载”的区间。对于报告生成这类长上下文任务，H100 级别在更长上下文支持、更稳定的多任务并发、更好的时延表现、更高的可交付 SLA，以及更低的工程约束成本方面更有把握。</w:t>
      </w:r>
    </w:p>
    <w:p>
      <w:pPr>
        <w:pStyle w:val="Heading2"/>
      </w:pPr>
      <w:r>
        <w:t>6.3 若未来目标是“高峰期也能保持很好的体验”</w:t>
      </w:r>
    </w:p>
    <w:p>
      <w:r>
        <w:t>则需要考虑 8×H100 或 H200/B200 级别的增强配置，尤其是在同时在线用户继续增加、长报告比例明显上升、需要同时兼顾同步体验与批量任务、需要更大的上下文上限，或需要更严格的 P95/P99 时延目标时。</w:t>
      </w:r>
    </w:p>
    <w:p>
      <w:pPr>
        <w:pStyle w:val="Heading1"/>
      </w:pPr>
      <w:r>
        <w:t>7. 建议客户采用的分阶段路线</w:t>
      </w:r>
    </w:p>
    <w:p>
      <w:pPr>
        <w:pStyle w:val="Heading2"/>
      </w:pPr>
      <w:r>
        <w:t>阶段一：继续使用现有 4×RTX 3090 完成测试与交付准备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跑通部署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跑通业务链路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完成功能验收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沉淀报告模板与提示词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明确正式生产的真实负载特征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建议定位：测试环境、联调环境、验收环境、受控 PoC 环境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不建议承诺：正式生产 SLA、大范围线上并发、高峰期同步长报告服务</w:t>
      </w:r>
    </w:p>
    <w:p>
      <w:pPr>
        <w:pStyle w:val="Heading2"/>
      </w:pPr>
      <w:r>
        <w:t>阶段二：采用 4×H100 作为正式生产起点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支撑正式上线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提供明确的生产 SLA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支撑更长上下文和更稳定的并发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降低工程限制和运维压力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建议定位：正式生产主节点、在线报告生成服务节点、中等规模业务负载的基线方案</w:t>
      </w:r>
    </w:p>
    <w:p>
      <w:pPr>
        <w:pStyle w:val="Heading2"/>
      </w:pPr>
      <w:r>
        <w:t>阶段三：按业务增长升级到更高等级算力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当客户业务量、上下文长度、并发要求进一步提升时，再考虑 8×H100、H200/B200 级别或分层架构（在线服务与批处理拆分）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这样可以避免一开始过度投入，也避免在生产阶段长期被 3090 的能力上限束缚</w:t>
      </w:r>
    </w:p>
    <w:p>
      <w:pPr>
        <w:pStyle w:val="Heading1"/>
      </w:pPr>
      <w:r>
        <w:t>8. 最终建议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当前测试阶段：继续利用客户现有 4×RTX 3090，把它定位为测试、联调、验收和 PoC 设备，快速完成部署与业务验证。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正式生产阶段：不要把 4×3090 当成生产主力方案；建议至少升级到 4×H100 级别，作为正式生产的起点。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1"/>
        </w:rPr>
        <w:t>未来扩容阶段：如果后续目标提升到更高并发、更长上下文或更严格 SLA，再进一步考虑 8×H100 或 H200/B200 级别的增强方案。</w:t>
      </w:r>
    </w:p>
    <w:p>
      <w:r>
        <w:rPr>
          <w:b/>
        </w:rPr>
        <w:t>一句话概括：4×3090 适合把系统“先跑通”，但不适合把服务“真正跑稳”；4×H100 才是进入正式生产区间的起点。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 w:val="0"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