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报告生成本地部署承载判断（决策版）</w:t>
      </w:r>
    </w:p>
    <w:p>
      <w:pPr>
        <w:jc w:val="center"/>
      </w:pPr>
      <w:r>
        <w:rPr>
          <w:i/>
          <w:sz w:val="21"/>
        </w:rPr>
        <w:t>基于当前测试环境账单峰值、现有硬件方案与工程估算的部署建议</w:t>
      </w:r>
    </w:p>
    <w:p>
      <w:r>
        <w:rPr>
          <w:b/>
        </w:rPr>
        <w:t>文档目的：</w:t>
      </w:r>
      <w:r>
        <w:t>把原稿中“方法、埋点、抽样”前置过多的问题收敛成部署决策文档，优先回答“4×3090 / 4×H100 跑 35B-A3B 或 27B dense 到底能不能顶住报告生成场景”。</w:t>
      </w:r>
    </w:p>
    <w:p>
      <w:r>
        <w:rPr>
          <w:b/>
        </w:rPr>
        <w:t>重要边界：</w:t>
      </w:r>
      <w:r>
        <w:t>以下结论仍基于测试/开发环境账单，不等价于生产容量承诺；其中模型速度与并发属于工程估算，最终需以目标配置的压测结果确认。</w:t>
      </w:r>
    </w:p>
    <w:p>
      <w:pPr>
        <w:pStyle w:val="Heading1"/>
      </w:pPr>
      <w:r>
        <w:t>一、先看结论</w:t>
      </w:r>
    </w:p>
    <w:p>
      <w:pPr>
        <w:pStyle w:val="ListBullet"/>
      </w:pPr>
      <w:r>
        <w:t>如果目标是“开发/测试环境可跑、少量用户可用、长报告接受排队或异步返回”，4×3090 + 35B-A3B 可以尝试，但不应作为正式高并发在线服务主力。</w:t>
      </w:r>
    </w:p>
    <w:p>
      <w:pPr>
        <w:pStyle w:val="ListBullet"/>
      </w:pPr>
      <w:r>
        <w:t>如果目标是“正式 API 服务、长上下文、多人同时生成报告”，4×H100 明显更稳妥，35B-A3B 比 27B dense 更适合服务化部署。</w:t>
      </w:r>
    </w:p>
    <w:p>
      <w:pPr>
        <w:pStyle w:val="ListBullet"/>
      </w:pPr>
      <w:r>
        <w:t>当前测试账单反推出的短期参考线为：prefill 12k input tok/s、decode 360 output tok/s、embedding 660 tok/s。4×3090 最有可能卡在 prefill 和长上下文 KV cache；4×H100 才有比较舒服的余量。</w:t>
      </w:r>
    </w:p>
    <w:p>
      <w:pPr>
        <w:pStyle w:val="ListBullet"/>
      </w:pPr>
      <w:r>
        <w:t>原稿最大问题不是“算错很多”，而是没有把部署问题写成部署结论：结论过晚、并发没有数字、正文被埋点和 session 抽样占满。</w:t>
      </w:r>
    </w:p>
    <w:p>
      <w:pPr>
        <w:pStyle w:val="Heading1"/>
      </w:pPr>
      <w:r>
        <w:t>二、输入数据与估算口径</w:t>
      </w:r>
    </w:p>
    <w:p>
      <w:r>
        <w:rPr>
          <w:b/>
        </w:rPr>
        <w:t>已知账单峰值（测试环境）：</w:t>
      </w:r>
      <w:r>
        <w:t>service LLM input 6,168 tok/s；service LLM output 180 tok/s；RAG embedding 330 tok/s。原稿据此给出了 2× 安全系数的短期对账线：12k / 360 / 660。</w:t>
      </w:r>
    </w:p>
    <w:p>
      <w:r>
        <w:rPr>
          <w:b/>
        </w:rPr>
        <w:t>性能估算口径：</w:t>
      </w:r>
      <w:r>
        <w:t>以下速度与并发均按 text-only API 服务理解，重点看报告生成场景，不包含视觉编码器；3090 口径默认需依赖量化（如 INT4/INT8），H100 口径默认按 BF16/FP8 服务化配置；并发分为“实用并发”（每路仍有较好体感）和“硬顶并发”（还能跑但排队和 TTFT 会明显恶化）。</w:t>
      </w:r>
    </w:p>
    <w:p>
      <w:pPr>
        <w:pStyle w:val="Heading1"/>
      </w:pPr>
      <w:r>
        <w:t>三、部署性能估算表（更接近你真正关心的问题）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配置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单路输出速度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节点总输出吞吐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实用并发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更适合的角色</w:t>
            </w:r>
          </w:p>
        </w:tc>
        <w:tc>
          <w:tcPr>
            <w:tcW w:type="dxa" w:w="16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判断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4×3090 + 27B dense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80–120 tok/s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130–200 tok/s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4–6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开发验证、少量在线请求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可跑，但对长报告和高并发不友好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4×3090 + 35B-A3B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150–220 tok/s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250–380 tok/s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8–12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开发/测试、受控异步报告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比 27B dense 更适合服务化，但仍建议限流与排队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4×H100 + 27B dense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160–260 tok/s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250–420 tok/s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8–16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中等并发在线服务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能做正式服务，但不是最优性价比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4×H100 + 35B-A3B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300–500 tok/s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550–900 tok/s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18–30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正式 API 服务、长报告、多并发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这组最适合做报告生成主力</w:t>
            </w:r>
          </w:p>
        </w:tc>
      </w:tr>
    </w:tbl>
    <w:p>
      <w:r>
        <w:t>说明：以上是工程估算区间，不是供应商官方 benchmark。决定结果的变量主要有：上下文长度、量化方式、vLLM/SGLang 配置、是否开启 MTP、batch 策略以及是否把 embedding/检索与生成拆服务。</w:t>
      </w:r>
    </w:p>
    <w:p>
      <w:pPr>
        <w:pStyle w:val="Heading1"/>
      </w:pPr>
      <w:r>
        <w:t>四、和当前测试账单的直接对照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</w:rPr>
              <w:t>指标</w:t>
            </w:r>
          </w:p>
        </w:tc>
        <w:tc>
          <w:tcPr>
            <w:tcW w:type="dxa" w:w="1949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</w:rPr>
              <w:t>测试账单峰值</w:t>
            </w:r>
          </w:p>
        </w:tc>
        <w:tc>
          <w:tcPr>
            <w:tcW w:type="dxa" w:w="1949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</w:rPr>
              <w:t>短期参考线（2×）</w:t>
            </w:r>
          </w:p>
        </w:tc>
        <w:tc>
          <w:tcPr>
            <w:tcW w:type="dxa" w:w="1949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</w:rPr>
              <w:t>4×3090 + 35B-A3B</w:t>
            </w:r>
          </w:p>
        </w:tc>
        <w:tc>
          <w:tcPr>
            <w:tcW w:type="dxa" w:w="1949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</w:rPr>
              <w:t>4×H100 + 35B-A3B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LLM prefill / input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6,168 tok/s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12,000 tok/s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风险最大；短上下文可争取，长报告下不稳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更有机会覆盖，但仍需按目标上下文压测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LLM decode / output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180 tok/s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360 tok/s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接近可达上沿，批量长报告时容易紧张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通常有较舒服余量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Embedding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330 tok/s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660 tok/s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建议独立部署，避免和主模型抢资源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建议独立部署，整体更稳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报告形态适配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长输入、多阶段、可能批量触发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更适合异步队列 + 限流 + 上下文上限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可以承接更完整的同步服务</w:t>
            </w:r>
          </w:p>
        </w:tc>
      </w:tr>
    </w:tbl>
    <w:p>
      <w:r>
        <w:rPr>
          <w:b/>
        </w:rPr>
        <w:t>最重要的判断：</w:t>
      </w:r>
      <w:r>
        <w:t>原稿给出的 12k / 360 / 660 这组数字本身可以保留，但必须补一句“这是对账型参考线，不是完整部署结论”。真正的部署结论应当直接写成：4×3090 只能作为受控节点，4×H100 才是更稳妥的正式服务方案。</w:t>
      </w:r>
    </w:p>
    <w:p>
      <w:pPr>
        <w:pStyle w:val="Heading1"/>
      </w:pPr>
      <w:r>
        <w:t>五、建议把原稿改成这样的结构</w:t>
      </w:r>
    </w:p>
    <w:p>
      <w:pPr>
        <w:pStyle w:val="ListBullet"/>
      </w:pPr>
      <w:r>
        <w:t>第一页先给一句话结论和一张部署表，不要先写大量方法论。</w:t>
      </w:r>
    </w:p>
    <w:p>
      <w:pPr>
        <w:pStyle w:val="ListBullet"/>
      </w:pPr>
      <w:r>
        <w:t>把“受控并发”“更利于高负载”这类模糊词改成数字区间，例如单路 tok/s、节点总吞吐、实用并发。</w:t>
      </w:r>
    </w:p>
    <w:p>
      <w:pPr>
        <w:pStyle w:val="ListBullet"/>
      </w:pPr>
      <w:r>
        <w:t>把 session 关键词筛选、120 个样本抽样、前端可见字符统计移到附录；这些是辅助材料，不是部署结论本身。</w:t>
      </w:r>
    </w:p>
    <w:p>
      <w:pPr>
        <w:pStyle w:val="ListBullet"/>
      </w:pPr>
      <w:r>
        <w:t>明确假设：text-only 还是多模态、上下文长度上限、量化方式、使用的 serving 引擎，否则性能数字不可读。</w:t>
      </w:r>
    </w:p>
    <w:p>
      <w:pPr>
        <w:pStyle w:val="ListBullet"/>
      </w:pPr>
      <w:r>
        <w:t>把“是否可作为正式服务”单列出来，直接回答“能不能上、适合什么角色、风险点是什么”。</w:t>
      </w:r>
    </w:p>
    <w:p>
      <w:pPr>
        <w:pStyle w:val="Heading1"/>
      </w:pPr>
      <w:r>
        <w:t>六、推荐的最终表述（可直接替换原稿结论页）</w:t>
      </w:r>
    </w:p>
    <w:p>
      <w:pPr>
        <w:pStyle w:val="IntenseQuote"/>
      </w:pPr>
      <w:r>
        <w:t>基于当前测试环境账单峰值与报告生成形态判断，4×3090 + 35B-A3B 更适合作为开发/测试或受控异步节点，不建议直接承担正式高并发在线报告生成；4×H100 + 35B-A3B 更适合作为正式 API 服务主力。当前测试账单反推的短期参考线为 prefill 12k input tok/s、decode 360 output tok/s、embedding 660 tok/s。其中 4×3090 的主要风险不在“模型是否能加载”，而在长报告场景下的 prefill、KV cache 和批量报告并发；4×H100 在这些维度上更有余量。若短期只能使用 4×3090，应将长报告改为异步队列，限制上下文长度与同时生成数量，并将 embedding 服务拆开。</w:t>
      </w:r>
    </w:p>
    <w:p>
      <w:pPr>
        <w:pStyle w:val="Heading1"/>
      </w:pPr>
      <w:r>
        <w:t>七、最小可执行动作</w:t>
      </w:r>
    </w:p>
    <w:p>
      <w:pPr>
        <w:pStyle w:val="ListNumber"/>
      </w:pPr>
      <w:r>
        <w:t>先按目标模型做一次真正有决策意义的压测：固定上下文长度（例如 32K / 64K）、固定引擎（vLLM 或 SGLang）、固定 text-only 口径，直接量出单路速度、节点总吞吐、TTFT、实用并发。</w:t>
      </w:r>
    </w:p>
    <w:p>
      <w:pPr>
        <w:pStyle w:val="ListNumber"/>
      </w:pPr>
      <w:r>
        <w:t>若继续沿用 4×3090：默认采用 35B-A3B，不建议把 27B dense 作为报告服务主力；同时对长报告采用异步队列和并发上限。</w:t>
      </w:r>
    </w:p>
    <w:p>
      <w:pPr>
        <w:pStyle w:val="ListNumber"/>
      </w:pPr>
      <w:r>
        <w:t>若要做正式对外或多人在线服务：优先规划 4×H100，并把 embedding 与主模型拆服务。</w:t>
      </w:r>
    </w:p>
    <w:p>
      <w:pPr>
        <w:pStyle w:val="ListNumber"/>
      </w:pPr>
      <w:r>
        <w:t>埋点和 session 调研可以继续做，但应放到部署结论之后，作为“把账算得更准”的后续工作，而不是正文主线。</w:t>
      </w:r>
    </w:p>
    <w:p>
      <w:pPr>
        <w:pStyle w:val="Heading1"/>
      </w:pPr>
      <w:r>
        <w:t>附录：保留哪些原稿内容</w:t>
      </w:r>
    </w:p>
    <w:p>
      <w:r>
        <w:t>建议保留原稿中的以下内容，但移到后半部分或附录：</w:t>
      </w:r>
    </w:p>
    <w:p>
      <w:pPr>
        <w:pStyle w:val="ListBullet"/>
      </w:pPr>
      <w:r>
        <w:t>测试环境账单峰值与总量表（因为这是现阶段最直接的数据基础）。</w:t>
      </w:r>
    </w:p>
    <w:p>
      <w:pPr>
        <w:pStyle w:val="ListBullet"/>
      </w:pPr>
      <w:r>
        <w:t>任务级埋点字段设计（因为这是后续把吞吐估算从“猜”变成“算”的必要条件）。</w:t>
      </w:r>
    </w:p>
    <w:p>
      <w:pPr>
        <w:pStyle w:val="ListBullet"/>
      </w:pPr>
      <w:r>
        <w:t>压测指标列表（因为后续 benchmark 需要这套指标）。</w:t>
      </w:r>
    </w:p>
    <w:p>
      <w:pPr>
        <w:pStyle w:val="ListBullet"/>
      </w:pPr>
      <w:r>
        <w:t>session 与前端可见字符抽样，但需标注为辅助调研，不宜作为正文主结论。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