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3DF5E">
      <w:pPr>
        <w:jc w:val="center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站场画像 AI 通用话术</w:t>
      </w:r>
    </w:p>
    <w:p w14:paraId="459CC26F">
      <w:pPr>
        <w:outlineLvl w:val="0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一、基础信息查询话术（可作为入口或补充查询）</w:t>
      </w:r>
    </w:p>
    <w:p w14:paraId="29DBF963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（一）定位说明</w:t>
      </w:r>
    </w:p>
    <w:p w14:paraId="76FB155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基础信息查询既可作为 AI 分析的入口，也可在风险分析或管理分析之后作为补充查询，用于确认分析对象与数据口径，确保上下文一致。</w:t>
      </w:r>
    </w:p>
    <w:p w14:paraId="196F9F2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（二）示例话术</w:t>
      </w:r>
    </w:p>
    <w:p w14:paraId="6A395323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1.入口型基础信息查询话术</w:t>
      </w:r>
    </w:p>
    <w:p w14:paraId="343759D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用户：</w:t>
      </w:r>
    </w:p>
    <w:p w14:paraId="4A7EEED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查询芳和花园总站的基础信息。</w:t>
      </w:r>
    </w:p>
    <w:p w14:paraId="029E78F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AI：</w:t>
      </w:r>
    </w:p>
    <w:p w14:paraId="1494608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已为你查询到芳和花园总站的基础信息如下：</w:t>
      </w:r>
    </w:p>
    <w:p w14:paraId="1B489E26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站场名称：芳和花园</w:t>
      </w:r>
    </w:p>
    <w:p w14:paraId="4BE7E6A1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总站名称：芳和花园总站</w:t>
      </w:r>
    </w:p>
    <w:p w14:paraId="1A878BA0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所属机构：四分公司一车队</w:t>
      </w:r>
    </w:p>
    <w:p w14:paraId="5D044A7F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管理单位：公交站场管理公司</w:t>
      </w:r>
    </w:p>
    <w:p w14:paraId="08AACE05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关联线路：126 路、1412 路、839 路</w:t>
      </w:r>
    </w:p>
    <w:p w14:paraId="1BAE4E2A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营运面积：1592</w:t>
      </w:r>
    </w:p>
    <w:p w14:paraId="08F96B84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站场类型：首末站</w:t>
      </w:r>
    </w:p>
    <w:p w14:paraId="639E5AA7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站场属性：划定区域</w:t>
      </w:r>
    </w:p>
    <w:p w14:paraId="4D089F3F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风险等级：第 3 级（关注型）</w:t>
      </w:r>
    </w:p>
    <w:p w14:paraId="5ED200E9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风险分数：64分</w:t>
      </w:r>
    </w:p>
    <w:p w14:paraId="3979E05C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分数排名：在本公司第1名</w:t>
      </w:r>
    </w:p>
    <w:p w14:paraId="13A0EA9D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当前数据更新时间：2026-01-09（1月第2周）</w:t>
      </w:r>
    </w:p>
    <w:p w14:paraId="1F553D9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你可以继续查看该站场的风险分析、管理效果，或生成安全风险分析总结报告。</w:t>
      </w:r>
    </w:p>
    <w:p w14:paraId="24277D74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2.分析后补充型基础信息查询话术</w:t>
      </w:r>
    </w:p>
    <w:p w14:paraId="1A049134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用户：</w:t>
      </w:r>
    </w:p>
    <w:p w14:paraId="3C4324F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芳和花园总站的基础信息是什么？</w:t>
      </w:r>
    </w:p>
    <w:p w14:paraId="76EF31C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AI：</w:t>
      </w:r>
    </w:p>
    <w:p w14:paraId="5156D6F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好的，补充当前分析对象的基础信息如下：</w:t>
      </w:r>
    </w:p>
    <w:p w14:paraId="0B81E334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站场名称：芳和花园</w:t>
      </w:r>
    </w:p>
    <w:p w14:paraId="10F60614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总站名称：芳和花园总站</w:t>
      </w:r>
    </w:p>
    <w:p w14:paraId="4953EBFB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所属机构：四分公司一车队</w:t>
      </w:r>
    </w:p>
    <w:p w14:paraId="3390D74C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管理单位：公交站场管理公司</w:t>
      </w:r>
    </w:p>
    <w:p w14:paraId="56A053A7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关联线路：126 路、1412 路、839 路</w:t>
      </w:r>
    </w:p>
    <w:p w14:paraId="5FB60DB9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营运面积：1592</w:t>
      </w:r>
    </w:p>
    <w:p w14:paraId="66396D2A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站场类型：首末站</w:t>
      </w:r>
    </w:p>
    <w:p w14:paraId="441DC0DF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站场属性：划定区域</w:t>
      </w:r>
    </w:p>
    <w:p w14:paraId="447CF1F8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风险等级：第 3 级（关注型）</w:t>
      </w:r>
    </w:p>
    <w:p w14:paraId="085B9176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风险分数：64分</w:t>
      </w:r>
    </w:p>
    <w:p w14:paraId="3BE81197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分数排名：在本公司第1名</w:t>
      </w:r>
    </w:p>
    <w:p w14:paraId="50F7B0C3">
      <w:pPr>
        <w:numPr>
          <w:ilvl w:val="0"/>
          <w:numId w:val="2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当前数据更新时间：2026-01-09（1月第2周）</w:t>
      </w:r>
    </w:p>
    <w:p w14:paraId="4944F9B0">
      <w:pPr>
        <w:outlineLvl w:val="0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 xml:space="preserve"> 二、风险分析话术</w:t>
      </w:r>
    </w:p>
    <w:p w14:paraId="762BAE66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（一）定位说明</w:t>
      </w:r>
    </w:p>
    <w:p w14:paraId="04CE7A9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风险分析话术用于围绕站场的单一风险指标开展分析，支持 “某站场 + 某风险指标”（如 “芳和花园总站 + 交通安全风险”“芳和花园总站 + 三防安全风险”）的提问方式，重点解释站场风险的成因、风险水平及变化趋势，不直接给出综合性管理结论。</w:t>
      </w:r>
    </w:p>
    <w:p w14:paraId="0042A0BF">
      <w:pPr>
        <w:numPr>
          <w:ilvl w:val="0"/>
          <w:numId w:val="3"/>
        </w:num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风险分析示例话术</w:t>
      </w:r>
    </w:p>
    <w:p w14:paraId="171D6C59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1.场景 1:风险分析详细回复</w:t>
      </w:r>
    </w:p>
    <w:p w14:paraId="5ED24535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启动与欢迎】</w:t>
      </w:r>
    </w:p>
    <w:p w14:paraId="43B5F74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你好，我是安全风险分析助手。</w:t>
      </w:r>
    </w:p>
    <w:p w14:paraId="36DC0F7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我可以基于站场运营数据、风险模型和历史记录，为你分析站场在不同风险指标下的风险水平及变化趋势。</w:t>
      </w:r>
    </w:p>
    <w:p w14:paraId="334B578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你可以直接说明想分析哪个站场以及关注的风险类型。</w:t>
      </w:r>
    </w:p>
    <w:p w14:paraId="6C698818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【用户提问】</w:t>
      </w:r>
    </w:p>
    <w:p w14:paraId="2796E77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芳和花园总站的交通安全风险情况如何？</w:t>
      </w:r>
    </w:p>
    <w:p w14:paraId="6339DB73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引导追问】</w:t>
      </w:r>
    </w:p>
    <w:p w14:paraId="3DA4BF3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我可以从交通安全相关指标为你展开分析，请确认你更关注哪一方面：</w:t>
      </w:r>
    </w:p>
    <w:p w14:paraId="74488528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当前交通安全风险等级</w:t>
      </w:r>
    </w:p>
    <w:p w14:paraId="1D294A1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交通安全风险形成的主要原因</w:t>
      </w:r>
    </w:p>
    <w:p w14:paraId="540D1AA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近期交通安全风险变化趋势</w:t>
      </w:r>
    </w:p>
    <w:p w14:paraId="15C4EDB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交通安全风险与同类型站场的对比情况</w:t>
      </w:r>
    </w:p>
    <w:p w14:paraId="3EDF2B1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你也可以直接回复 “综合分析”。</w:t>
      </w:r>
    </w:p>
    <w:p w14:paraId="1283F283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【用户确认】</w:t>
      </w:r>
    </w:p>
    <w:p w14:paraId="6AFB3C1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综合分析一下。</w:t>
      </w:r>
    </w:p>
    <w:p w14:paraId="433C4605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风险分析详细回复1:关注型指标】</w:t>
      </w:r>
    </w:p>
    <w:p w14:paraId="7A5712B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好的，我将基于交通安全风险指标体系，对芳和花园总站的交通安全风险情况进行综合分析。从当前交通安全风险水平来看，该站场目前交通安全风险评分为58分，处于关注区间，尚未达到系统定义的危险阈值，但已被标记为需要重点关注对象。</w:t>
      </w:r>
    </w:p>
    <w:p w14:paraId="7976F68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从交通安全风险成因分析：</w:t>
      </w:r>
    </w:p>
    <w:p w14:paraId="63DDCFBF">
      <w:pPr>
        <w:numPr>
          <w:ilvl w:val="0"/>
          <w:numId w:val="4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其 “人车分流” 风险次数达 24 次、“人车流量” 达 20 次，明显高于同公司平均水平，说明站场划定区域内人车混行的场景风险突出；</w:t>
      </w:r>
    </w:p>
    <w:p w14:paraId="4F77BFB5">
      <w:pPr>
        <w:numPr>
          <w:ilvl w:val="0"/>
          <w:numId w:val="4"/>
        </w:num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“视觉盲区”“夜间灯光” 等辅助设施类指标波动较大，反映硬件配套与高峰场景的适配性不足；</w:t>
      </w:r>
    </w:p>
    <w:p w14:paraId="40025D1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综上，交通安全风险评分在近 1 个月内呈波动上升趋势，同比上周上升20%，环比上周上升10%，对比同公司平均水平高10%，显示风险并非偶发，而是客流压力与设施短板叠加累积形成。</w:t>
      </w:r>
    </w:p>
    <w:p w14:paraId="35BB23F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从数据关联情况看，“人车分流” 风险与 “人车流量” 风险同时出现，提示当前交通安全风险主要由客流压力与场地规划短板叠加导致。</w:t>
      </w:r>
    </w:p>
    <w:p w14:paraId="67605D73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综合判断，该站场当前交通安全风险处于可控区间，但已具备进一步放大的条件，如不加以管理，存在向高风险演变的可能。</w:t>
      </w:r>
    </w:p>
    <w:p w14:paraId="76EDFBFC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2.场景2:用户想了解综合风险趋势图</w:t>
      </w:r>
    </w:p>
    <w:p w14:paraId="22E8F26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主动引导用户了解综合风险趋势图】</w:t>
      </w:r>
    </w:p>
    <w:p w14:paraId="5DA72238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我可以为你展示该驾驶员近期的综合风险趋势变化情况，用于观察风险是否存在波动或累积。</w:t>
      </w:r>
    </w:p>
    <w:p w14:paraId="6FD893E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是否需要查看风险趋势图？</w:t>
      </w:r>
    </w:p>
    <w:p w14:paraId="62AF3C1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（按钮 / 选项）</w:t>
      </w:r>
    </w:p>
    <w:p w14:paraId="77A2291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查看综合风险趋势</w:t>
      </w:r>
    </w:p>
    <w:p w14:paraId="230EF0D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暂不需要</w:t>
      </w:r>
    </w:p>
    <w:p w14:paraId="0F39EBE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【用户确认】</w:t>
      </w:r>
    </w:p>
    <w:p w14:paraId="3C1CC70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查看综合风险趋势</w:t>
      </w:r>
    </w:p>
    <w:p w14:paraId="370D236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【AI回复综合风险趋势图】</w:t>
      </w:r>
    </w:p>
    <w:p w14:paraId="0E13EC8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图表展示：综合风险趋势图（时间序列）</w:t>
      </w:r>
    </w:p>
    <w:p w14:paraId="2D66B7A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drawing>
          <wp:inline distT="0" distB="0" distL="114300" distR="114300">
            <wp:extent cx="5266690" cy="2546350"/>
            <wp:effectExtent l="0" t="0" r="16510" b="19050"/>
            <wp:docPr id="2" name="图片 2" descr="截屏2026-02-03 10.15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2-03 10.15.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B173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该趋势图反映的是芳和花园总站在本月内的综合风险变化情况。</w:t>
      </w:r>
    </w:p>
    <w:p w14:paraId="27C4679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可以看到，风险水平整体处于波动上升区间，其中交通安全风险波动最为明显，系统因此将其纳入持续观察范围。</w:t>
      </w:r>
    </w:p>
    <w:p w14:paraId="34C5D089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3.场景3:用户想了解气泡图 / 列表中的某一个风险指标</w:t>
      </w:r>
    </w:p>
    <w:p w14:paraId="23DDEDB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【AI 主动引导用户确认】</w:t>
      </w:r>
    </w:p>
    <w:p w14:paraId="13F5461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你是想了解这个指标的含义，还是想查看该指标在管理干预前后的变化情况？</w:t>
      </w:r>
    </w:p>
    <w:p w14:paraId="438DEA0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（按钮 / 选项）</w:t>
      </w:r>
    </w:p>
    <w:p w14:paraId="3658891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看指标含义</w:t>
      </w:r>
    </w:p>
    <w:p w14:paraId="7D9093D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看具体表现</w:t>
      </w:r>
    </w:p>
    <w:p w14:paraId="2E859B4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【用户确认】</w:t>
      </w:r>
    </w:p>
    <w:p w14:paraId="56A3589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用户：</w:t>
      </w:r>
    </w:p>
    <w:p w14:paraId="538AC2F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看具体表现</w:t>
      </w:r>
    </w:p>
    <w:p w14:paraId="0D657DD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【AI 回复对应的记录情况（图表分析版）】</w:t>
      </w:r>
    </w:p>
    <w:p w14:paraId="0999058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图表展示：该风险指标趋势变化</w:t>
      </w:r>
    </w:p>
    <w:p w14:paraId="4E76123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drawing>
          <wp:inline distT="0" distB="0" distL="114300" distR="114300">
            <wp:extent cx="5273675" cy="2528570"/>
            <wp:effectExtent l="0" t="0" r="9525" b="11430"/>
            <wp:docPr id="3" name="图片 3" descr="03524a57639036b4cc8a0f18e2dac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524a57639036b4cc8a0f18e2dac6a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43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当前图表展示的是该指标在一段时间内的变化趋势。</w:t>
      </w:r>
    </w:p>
    <w:p w14:paraId="6B90C49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图中虚线位置为管理干预线，左侧为干预前数据，右侧为干预后数据。</w:t>
      </w:r>
    </w:p>
    <w:p w14:paraId="2BD2C10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可以看到，在管理干预实施后，该指标整体呈现下降趋势，说明相关风险水平已有所回落，管理措施在当前阶段发挥了优化效果。</w:t>
      </w:r>
    </w:p>
    <w:p w14:paraId="4F44F4A7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补充附加回复】</w:t>
      </w:r>
    </w:p>
    <w:p w14:paraId="236A77D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如有需要，我可以进一步展示该站场交通安全风险对应的原始客流 / 车流记录。或将该风险分析结果与其风险处理状态（如待接受建议 / 待确认干预）进行关联说明。</w:t>
      </w:r>
    </w:p>
    <w:p w14:paraId="468476C1">
      <w:pPr>
        <w:rPr>
          <w:rFonts w:ascii="仿宋_GB2312" w:hAnsi="仿宋_GB2312" w:eastAsia="仿宋_GB2312" w:cs="仿宋_GB2312"/>
          <w:sz w:val="24"/>
          <w:szCs w:val="32"/>
        </w:rPr>
      </w:pPr>
    </w:p>
    <w:p w14:paraId="62CCA96C">
      <w:pPr>
        <w:outlineLvl w:val="0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 xml:space="preserve"> 三、管理效果话术</w:t>
      </w:r>
    </w:p>
    <w:p w14:paraId="608C6FDF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（一）定位说明</w:t>
      </w:r>
    </w:p>
    <w:p w14:paraId="06AC9D7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管理效果话术用于评估站场风险是否已被有效管理，重点关注风险处理状态、干预执行情况及干预效果，强调管理闭环，并支持关联站场客流、设施、设备的原始数据记录</w:t>
      </w:r>
    </w:p>
    <w:p w14:paraId="2721EE2B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（二）管理效果分析示例话术</w:t>
      </w:r>
    </w:p>
    <w:p w14:paraId="5BBABED6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1.场景 1:管理效果详细回复</w:t>
      </w:r>
    </w:p>
    <w:p w14:paraId="26380211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启动与欢迎】</w:t>
      </w:r>
    </w:p>
    <w:p w14:paraId="4DB4165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你好，我是安全风险分析助手。</w:t>
      </w:r>
    </w:p>
    <w:p w14:paraId="10CA3BD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我可以协助你评估站场风险是否已被有效管理，包括干预执行情况、处理状态及实际管理效果。</w:t>
      </w:r>
    </w:p>
    <w:p w14:paraId="3965481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你可以直接说明想查看哪个站场的管理效果。</w:t>
      </w:r>
    </w:p>
    <w:p w14:paraId="7D8C9185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【用户提问】</w:t>
      </w:r>
    </w:p>
    <w:p w14:paraId="14B7875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芳和花园总站的管理效果怎么样？</w:t>
      </w:r>
    </w:p>
    <w:p w14:paraId="5FD0D1ED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引导追问】</w:t>
      </w:r>
    </w:p>
    <w:p w14:paraId="69125473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好的，请确认你更希望从哪一角度了解管理效果：</w:t>
      </w:r>
    </w:p>
    <w:p w14:paraId="7F3EBA6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风险处理状态整体情况</w:t>
      </w:r>
    </w:p>
    <w:p w14:paraId="24831B6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干预措施执行情况</w:t>
      </w:r>
    </w:p>
    <w:p w14:paraId="54BFFC0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干预后的效果变化</w:t>
      </w:r>
    </w:p>
    <w:p w14:paraId="6434E47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是否仍存在待处理风险</w:t>
      </w:r>
    </w:p>
    <w:p w14:paraId="5C2EC64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你也可以直接回复“整体情况”。</w:t>
      </w:r>
    </w:p>
    <w:p w14:paraId="097AAD4E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【用户确认】</w:t>
      </w:r>
    </w:p>
    <w:p w14:paraId="42572C54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整体情况。</w:t>
      </w:r>
    </w:p>
    <w:p w14:paraId="254C65B0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管理效果分析回复】</w:t>
      </w:r>
    </w:p>
    <w:p w14:paraId="7EE5DC3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已为你查询到芳和花园总站的管理效果数据，数据更新时间为 2026-01-23。</w:t>
      </w:r>
    </w:p>
    <w:p w14:paraId="533EFF0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以下从管理建议执行情况、风险处理状态及当前优化效果三个层面，为你进行综合分析：</w:t>
      </w:r>
    </w:p>
    <w:p w14:paraId="32CB8F5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一、整体管理状态概览</w:t>
      </w:r>
    </w:p>
    <w:p w14:paraId="4646822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当前系统共识别并纳入管理的风险与改进事项 4 项，其中：</w:t>
      </w:r>
    </w:p>
    <w:p w14:paraId="19FBD69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待接受建议：1 项 —— 尚未执行，但系统已给出明确管理建议；</w:t>
      </w:r>
    </w:p>
    <w:p w14:paraId="6D63BF6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待确认处理：1 项 —— 已提出处理方案，当前处于执行或验证阶段；</w:t>
      </w:r>
    </w:p>
    <w:p w14:paraId="26B207B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待优化风险：2 项 —— 已干预，但指标仍高于阈值，需持续跟踪。</w:t>
      </w:r>
    </w:p>
    <w:p w14:paraId="16DECDB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整体来看，该站场已进入重点管理与持续干预阶段，管理闭环正在形成，但部分风险仍处于优化中状态。</w:t>
      </w:r>
    </w:p>
    <w:p w14:paraId="7C870EA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二、待接受建议事项分析（1 项）</w:t>
      </w:r>
    </w:p>
    <w:p w14:paraId="644A958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1.星光下道总站交通安全风险中“人车分流”风险的建议</w:t>
      </w:r>
    </w:p>
    <w:p w14:paraId="1C56588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系统建议：</w:t>
      </w:r>
    </w:p>
    <w:p w14:paraId="378FAEC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“人车分流”风险次数（24次）显著偏高，建议 3 日内完成站场划定区域人车分流引导标识增设，明确早晚高峰人车通行路线。</w:t>
      </w:r>
    </w:p>
    <w:p w14:paraId="1E31D44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当前状态：</w:t>
      </w:r>
    </w:p>
    <w:p w14:paraId="78AA620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尚未执行，该项风险值较高，属于危险区间，建议优先级较高，应尽快协调站场管理公司落实。</w:t>
      </w:r>
    </w:p>
    <w:p w14:paraId="3B80123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三、待确认处理事项分析（1 项）</w:t>
      </w:r>
    </w:p>
    <w:p w14:paraId="3B46C5A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1.大学城总站三防安全风险中“临水临崖”风险的建议</w:t>
      </w:r>
    </w:p>
    <w:p w14:paraId="251A82E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系统建议：</w:t>
      </w:r>
    </w:p>
    <w:p w14:paraId="051D61F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临水临崖”风险值（</w:t>
      </w:r>
      <w:r>
        <w:rPr>
          <w:rFonts w:ascii="仿宋_GB2312" w:hAnsi="仿宋_GB2312" w:eastAsia="仿宋_GB2312" w:cs="仿宋_GB2312"/>
          <w:sz w:val="24"/>
          <w:szCs w:val="32"/>
        </w:rPr>
        <w:t>XX</w:t>
      </w:r>
      <w:r>
        <w:rPr>
          <w:rFonts w:hint="eastAsia" w:ascii="仿宋_GB2312" w:hAnsi="仿宋_GB2312" w:eastAsia="仿宋_GB2312" w:cs="仿宋_GB2312"/>
          <w:sz w:val="24"/>
          <w:szCs w:val="32"/>
        </w:rPr>
        <w:t>分）显著偏高，建议开展 “临水临崖区域应急处置” 专项培训（1 课时），重点讲解汛期防护与隐患排查要点。</w:t>
      </w:r>
    </w:p>
    <w:p w14:paraId="534500F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当前状态：</w:t>
      </w:r>
    </w:p>
    <w:p w14:paraId="1943370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该项风险值较高，属于危险区间，建议优先级较高，现已接受建议，但尚未进行干预，建议尽快协调培训资源并跟踪参训情况。</w:t>
      </w:r>
    </w:p>
    <w:p w14:paraId="42A3214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四、待优化风险指标分析（2 项）</w:t>
      </w:r>
    </w:p>
    <w:p w14:paraId="07412FF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1.门口岗总站消防安全风险中“消防设备”风险的建议</w:t>
      </w:r>
    </w:p>
    <w:p w14:paraId="6AD9B18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系统建议：</w:t>
      </w:r>
    </w:p>
    <w:p w14:paraId="3C7D6F7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“消防设备”风险值（84分）显著偏高，建议在充电车数密集区域新增 1 组灭火器材，优化消防设备布局。</w:t>
      </w:r>
    </w:p>
    <w:p w14:paraId="332A5B8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当前状态：</w:t>
      </w:r>
    </w:p>
    <w:p w14:paraId="7B0663C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该项风险值较高，属于危险区间，建议优先级较高，现已开展干预处置，相关风险问题得到优化。</w:t>
      </w:r>
    </w:p>
    <w:p w14:paraId="3F2F587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2，沥滘总站交通安全风险中“夜间灯光”风险的建议</w:t>
      </w:r>
    </w:p>
    <w:p w14:paraId="1661682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系统建议：</w:t>
      </w:r>
    </w:p>
    <w:p w14:paraId="31E49BD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“夜间灯光”风险次数（24次）显著偏高，建议在站场视觉盲区新增 2 组夜间照明设备，提升照度至 120lux。</w:t>
      </w:r>
    </w:p>
    <w:p w14:paraId="2A3B8FD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当前状态：</w:t>
      </w:r>
    </w:p>
    <w:p w14:paraId="4A0A64A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该项风险值较高，属于危险区间，建议优先级较高，现已开展干预处置，但相关风险问题未得到优化。</w:t>
      </w:r>
    </w:p>
    <w:p w14:paraId="0BC3447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五、综合管理效果评估结论</w:t>
      </w:r>
    </w:p>
    <w:p w14:paraId="5D254F4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综合来看，芳和花园总站当前管理效果处于 **“部分优化、待全闭环” 阶段 **：</w:t>
      </w:r>
    </w:p>
    <w:p w14:paraId="7B5E774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管理建议已全面覆盖交通安全、三防、消防等核心风险点，措施贴合站场运营场景；</w:t>
      </w:r>
    </w:p>
    <w:p w14:paraId="7212087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部分干预措施（如消防设备优化）已进入验证阶段，但仍有待接受建议未落地，管理闭环尚未完全形成；</w:t>
      </w:r>
    </w:p>
    <w:p w14:paraId="38DC009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已优化的风险指标稳定性较好，后续需聚焦待处理事项的落地，巩固管理效果。</w:t>
      </w:r>
    </w:p>
    <w:p w14:paraId="6B0EA93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整体管理方向正确，但仍需在执行效率上进一步加强。</w:t>
      </w:r>
    </w:p>
    <w:p w14:paraId="2C7DB9EF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补充附加回复】</w:t>
      </w:r>
    </w:p>
    <w:p w14:paraId="6E52C67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你可以进一步查看每一项风险的处理记录与原始设施监测数据，或结合站场风险分析结果，判断是否需要升级管理措施。</w:t>
      </w:r>
    </w:p>
    <w:p w14:paraId="789579E1">
      <w:pPr>
        <w:outlineLvl w:val="2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2.场景 2:用户想了解列表中的某一个风险指标的趋势</w:t>
      </w:r>
    </w:p>
    <w:p w14:paraId="1971B03D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【AI 主动引导用户确认】</w:t>
      </w:r>
    </w:p>
    <w:p w14:paraId="3982E59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你是想了解这个指标的含义，还是想查看该指标在管理干预前后的变化情况？</w:t>
      </w:r>
    </w:p>
    <w:p w14:paraId="6DAF5627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（按钮 / 选项）</w:t>
      </w:r>
    </w:p>
    <w:p w14:paraId="7A89171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看指标含义</w:t>
      </w:r>
    </w:p>
    <w:p w14:paraId="7848CAF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看具体表现</w:t>
      </w:r>
    </w:p>
    <w:p w14:paraId="1B9F435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【用户确认】</w:t>
      </w:r>
    </w:p>
    <w:p w14:paraId="47E64F5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用户：</w:t>
      </w:r>
    </w:p>
    <w:p w14:paraId="697DCEE9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看具体表现</w:t>
      </w:r>
    </w:p>
    <w:p w14:paraId="1A779D7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【AI 回复对应的记录情况（图表分析版）】</w:t>
      </w:r>
    </w:p>
    <w:p w14:paraId="79E1538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图表展示：该风险指标趋势变化</w:t>
      </w:r>
    </w:p>
    <w:p w14:paraId="544EEFD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drawing>
          <wp:inline distT="0" distB="0" distL="114300" distR="114300">
            <wp:extent cx="5273675" cy="2528570"/>
            <wp:effectExtent l="0" t="0" r="9525" b="11430"/>
            <wp:docPr id="5" name="图片 5" descr="03524a57639036b4cc8a0f18e2dac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524a57639036b4cc8a0f18e2dac6a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A834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当前图表展示的是该指标在一段时间内的变化趋势。</w:t>
      </w:r>
    </w:p>
    <w:p w14:paraId="11C5D891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图中虚线位置为管理干预线，左侧为干预前数据，右侧为干预后数据。</w:t>
      </w:r>
    </w:p>
    <w:p w14:paraId="6E11E7F3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可以看到，在管理干预实施后，该指标整体呈现下降趋势，说明相关风险水平已有所回落，管理措施在当前阶段发挥了优化效果。</w:t>
      </w:r>
    </w:p>
    <w:p w14:paraId="3FFC34BD">
      <w:pPr>
        <w:outlineLvl w:val="0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四、安全风险分析总结报告话术</w:t>
      </w:r>
    </w:p>
    <w:p w14:paraId="497FFA05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（一）定位说明</w:t>
      </w:r>
    </w:p>
    <w:p w14:paraId="4DA776F8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安全风险分析总结报告话术用于对站场多维度风险（交通安全、三防安全、消防安全等）识别结果与管理情况进行综合归纳，以自然语言形式输出整体结论，适用于站场安全管理汇报、运营评估及风险管控决策场景。</w:t>
      </w:r>
    </w:p>
    <w:p w14:paraId="2C8BEA2D">
      <w:pPr>
        <w:outlineLvl w:val="1"/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（二）安全风险分析总结报告示例话术</w:t>
      </w:r>
    </w:p>
    <w:p w14:paraId="0EA39146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启动与欢迎】</w:t>
      </w:r>
    </w:p>
    <w:p w14:paraId="3408E480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你好，我是安全风险分析助手。</w:t>
      </w:r>
    </w:p>
    <w:p w14:paraId="5432D392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我可以基于站场运营数据、风险记录及管理干预情况，生成站场安全风险分析总结报告，内容适用于管理汇报与综合评估。</w:t>
      </w:r>
    </w:p>
    <w:p w14:paraId="3CEB7669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【用户提问】</w:t>
      </w:r>
    </w:p>
    <w:p w14:paraId="302A62FA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请帮我生成芳和花园总站的安全风险分析总结报告。</w:t>
      </w:r>
    </w:p>
    <w:p w14:paraId="6523D993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引导确认】</w:t>
      </w:r>
    </w:p>
    <w:p w14:paraId="2B5EC48E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好的，我将基于芳和花园总站的风险识别结果、设施数据及管理干预记录生成综合总结，请确认是否使用当前最新数据。</w:t>
      </w:r>
    </w:p>
    <w:p w14:paraId="6DA7417E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【用户确认】</w:t>
      </w:r>
    </w:p>
    <w:p w14:paraId="44886AAC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确认。</w:t>
      </w:r>
    </w:p>
    <w:p w14:paraId="4071118A">
      <w:pPr>
        <w:rPr>
          <w:rFonts w:ascii="仿宋_GB2312" w:hAnsi="仿宋_GB2312" w:eastAsia="仿宋_GB2312" w:cs="仿宋_GB2312"/>
          <w:b/>
          <w:bCs/>
          <w:sz w:val="24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  <w:highlight w:val="yellow"/>
        </w:rPr>
        <w:t>【AI 安全风险分析总结报告回复模版——管理人员】</w:t>
      </w:r>
    </w:p>
    <w:p w14:paraId="4CBAB8CB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一、多维绩效看板</w:t>
      </w:r>
    </w:p>
    <w:p w14:paraId="5FFEA911">
      <w:pPr>
        <w:rPr>
          <w:rFonts w:hint="eastAsia" w:ascii="仿宋_GB2312" w:hAnsi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{2026年1月</w:t>
      </w:r>
      <w:r>
        <w:rPr>
          <w:rFonts w:hint="eastAsia" w:ascii="仿宋_GB2312" w:hAnsi="仿宋_GB2312" w:eastAsia="仿宋_GB2312" w:cs="仿宋_GB2312"/>
          <w:sz w:val="24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32"/>
        </w:rPr>
        <w:t>日</w:t>
      </w:r>
      <w:r>
        <w:rPr>
          <w:rFonts w:hint="eastAsia" w:ascii="仿宋_GB2312" w:hAnsi="仿宋_GB2312" w:eastAsia="仿宋_GB2312" w:cs="仿宋_GB2312"/>
          <w:sz w:val="24"/>
          <w:szCs w:val="32"/>
          <w:lang w:val="en-US" w:eastAsia="zh-CN"/>
        </w:rPr>
        <w:t>-1月7日</w:t>
      </w:r>
      <w:r>
        <w:rPr>
          <w:rFonts w:hint="eastAsia" w:ascii="仿宋_GB2312" w:hAnsi="仿宋_GB2312" w:eastAsia="仿宋_GB2312" w:cs="仿宋_GB2312"/>
          <w:sz w:val="24"/>
          <w:szCs w:val="32"/>
        </w:rPr>
        <w:t>}{</w:t>
      </w:r>
      <w:r>
        <w:rPr>
          <w:rFonts w:hint="eastAsia" w:ascii="仿宋_GB2312" w:hAnsi="仿宋_GB2312" w:eastAsia="仿宋_GB2312" w:cs="仿宋_GB2312"/>
          <w:sz w:val="24"/>
          <w:szCs w:val="32"/>
          <w:lang w:val="en-US" w:eastAsia="zh-CN"/>
        </w:rPr>
        <w:t>芳和花园</w:t>
      </w:r>
      <w:r>
        <w:rPr>
          <w:rFonts w:hint="eastAsia" w:ascii="仿宋_GB2312" w:hAnsi="仿宋_GB2312" w:eastAsia="仿宋_GB2312" w:cs="仿宋_GB2312"/>
          <w:sz w:val="24"/>
          <w:szCs w:val="32"/>
        </w:rPr>
        <w:t>}</w:t>
      </w:r>
      <w:r>
        <w:rPr>
          <w:rFonts w:hint="default" w:ascii="仿宋_GB2312" w:hAnsi="仿宋_GB2312" w:eastAsia="仿宋_GB2312" w:cs="仿宋_GB2312"/>
          <w:sz w:val="24"/>
          <w:szCs w:val="32"/>
          <w:lang w:val="en-US"/>
        </w:rPr>
        <w:t>)</w:t>
      </w:r>
      <w:r>
        <w:rPr>
          <w:rFonts w:hint="eastAsia" w:ascii="仿宋_GB2312" w:hAnsi="仿宋_GB2312" w:eastAsia="仿宋_GB2312" w:cs="仿宋_GB2312"/>
          <w:sz w:val="24"/>
          <w:szCs w:val="32"/>
          <w:lang w:val="en-US" w:eastAsia="zh-CN"/>
        </w:rPr>
        <w:t>站场</w:t>
      </w:r>
      <w:r>
        <w:rPr>
          <w:rFonts w:hint="eastAsia" w:ascii="仿宋_GB2312" w:hAnsi="仿宋_GB2312" w:eastAsia="仿宋_GB2312" w:cs="仿宋_GB2312"/>
          <w:sz w:val="24"/>
          <w:szCs w:val="32"/>
        </w:rPr>
        <w:t>被系统预判为 {安全/观察/关注/危险} ，</w:t>
      </w:r>
      <w:bookmarkStart w:id="0" w:name="OLE_LINK2"/>
      <w:r>
        <w:rPr>
          <w:rFonts w:hint="eastAsia" w:ascii="仿宋_GB2312" w:hAnsi="仿宋_GB2312" w:eastAsia="仿宋_GB2312" w:cs="仿宋_GB2312"/>
          <w:sz w:val="24"/>
          <w:szCs w:val="32"/>
        </w:rPr>
        <w:t>主要风险因素为{人车分流</w:t>
      </w:r>
      <w:r>
        <w:rPr>
          <w:rFonts w:hint="eastAsia" w:ascii="仿宋_GB2312" w:hAnsi="仿宋_GB2312" w:eastAsia="仿宋_GB2312" w:cs="仿宋_GB2312"/>
          <w:sz w:val="24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4"/>
          <w:szCs w:val="32"/>
        </w:rPr>
        <w:t>人车流量</w:t>
      </w:r>
      <w:r>
        <w:rPr>
          <w:rFonts w:hint="eastAsia" w:ascii="仿宋_GB2312" w:hAnsi="仿宋_GB2312" w:eastAsia="仿宋_GB2312" w:cs="仿宋_GB2312"/>
          <w:sz w:val="24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4"/>
          <w:szCs w:val="32"/>
        </w:rPr>
        <w:t>临水临</w:t>
      </w:r>
      <w:r>
        <w:rPr>
          <w:rFonts w:hint="eastAsia" w:ascii="仿宋_GB2312" w:hAnsi="仿宋_GB2312" w:eastAsia="仿宋_GB2312" w:cs="仿宋_GB2312"/>
          <w:sz w:val="24"/>
          <w:szCs w:val="32"/>
          <w:lang w:val="en-US" w:eastAsia="zh-CN"/>
        </w:rPr>
        <w:t>崖</w:t>
      </w:r>
      <w:r>
        <w:rPr>
          <w:rFonts w:hint="eastAsia" w:ascii="仿宋_GB2312" w:hAnsi="仿宋_GB2312" w:eastAsia="仿宋_GB2312" w:cs="仿宋_GB2312"/>
          <w:sz w:val="24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4"/>
          <w:szCs w:val="32"/>
        </w:rPr>
        <w:t>充电车数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sz w:val="24"/>
          <w:szCs w:val="32"/>
        </w:rPr>
        <w:t>}</w:t>
      </w:r>
      <w:r>
        <w:rPr>
          <w:rFonts w:hint="eastAsia" w:ascii="宋体" w:hAnsi="宋体" w:eastAsia="宋体" w:cs="宋体"/>
          <w:color w:val="EE0000"/>
          <w:sz w:val="24"/>
          <w:szCs w:val="32"/>
        </w:rPr>
        <w:t>（基础指标）</w:t>
      </w:r>
      <w:r>
        <w:rPr>
          <w:rFonts w:hint="eastAsia" w:ascii="仿宋_GB2312" w:hAnsi="仿宋_GB2312" w:eastAsia="仿宋_GB2312" w:cs="仿宋_GB2312"/>
          <w:sz w:val="24"/>
          <w:szCs w:val="32"/>
        </w:rPr>
        <w:t>，需引起重视。</w:t>
      </w:r>
      <w:bookmarkEnd w:id="0"/>
    </w:p>
    <w:p w14:paraId="29B9AFC1">
      <w:pPr>
        <w:rPr>
          <w:rFonts w:hint="eastAsia" w:ascii="仿宋_GB2312" w:hAnsi="仿宋_GB2312" w:cs="仿宋_GB2312"/>
          <w:sz w:val="24"/>
          <w:szCs w:val="32"/>
        </w:rPr>
      </w:pP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701"/>
        <w:gridCol w:w="3022"/>
        <w:gridCol w:w="2131"/>
      </w:tblGrid>
      <w:tr w14:paraId="60EEC1C7">
        <w:trPr>
          <w:trHeight w:val="410" w:hRule="atLeast"/>
        </w:trPr>
        <w:tc>
          <w:tcPr>
            <w:tcW w:w="1560" w:type="dxa"/>
            <w:tcBorders>
              <w:bottom w:val="single" w:color="auto" w:sz="4" w:space="0"/>
            </w:tcBorders>
          </w:tcPr>
          <w:p w14:paraId="6BFB7C0F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32"/>
              </w:rPr>
              <w:t>核心维度</w:t>
            </w:r>
          </w:p>
        </w:tc>
        <w:tc>
          <w:tcPr>
            <w:tcW w:w="1701" w:type="dxa"/>
          </w:tcPr>
          <w:p w14:paraId="29D32BE2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32"/>
              </w:rPr>
              <w:t>风险得分</w:t>
            </w:r>
          </w:p>
        </w:tc>
        <w:tc>
          <w:tcPr>
            <w:tcW w:w="3022" w:type="dxa"/>
          </w:tcPr>
          <w:p w14:paraId="25474E40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32"/>
              </w:rPr>
              <w:t>趋势表现</w:t>
            </w:r>
          </w:p>
        </w:tc>
        <w:tc>
          <w:tcPr>
            <w:tcW w:w="2131" w:type="dxa"/>
          </w:tcPr>
          <w:p w14:paraId="3B91BC3A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32"/>
              </w:rPr>
              <w:t>核心风险指标</w:t>
            </w:r>
          </w:p>
        </w:tc>
      </w:tr>
      <w:tr w14:paraId="7B045318">
        <w:trPr>
          <w:trHeight w:val="1365" w:hRule="atLeast"/>
        </w:trPr>
        <w:tc>
          <w:tcPr>
            <w:tcW w:w="1560" w:type="dxa"/>
            <w:tcBorders>
              <w:bottom w:val="single" w:color="auto" w:sz="4" w:space="0"/>
            </w:tcBorders>
          </w:tcPr>
          <w:p w14:paraId="428CDEC9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综合风险</w:t>
            </w:r>
          </w:p>
        </w:tc>
        <w:tc>
          <w:tcPr>
            <w:tcW w:w="1701" w:type="dxa"/>
            <w:vAlign w:val="center"/>
          </w:tcPr>
          <w:p w14:paraId="314BA9A6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{43}</w:t>
            </w:r>
          </w:p>
        </w:tc>
        <w:tc>
          <w:tcPr>
            <w:tcW w:w="3022" w:type="dxa"/>
          </w:tcPr>
          <w:p w14:paraId="3EB81CF9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同比{⬆ ⬇}️{9.5%}，环比{⬆ ⬇}{9.1%}，同单位比{⬆ ⬇}{5%}，同线路比{⬆ ⬇}{10%}</w:t>
            </w:r>
          </w:p>
        </w:tc>
        <w:tc>
          <w:tcPr>
            <w:tcW w:w="2131" w:type="dxa"/>
          </w:tcPr>
          <w:p w14:paraId="383C43DD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人车分流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人车流量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临水临</w:t>
            </w:r>
            <w:r>
              <w:rPr>
                <w:rFonts w:hint="eastAsia" w:ascii="宋体" w:hAnsi="宋体" w:eastAsia="宋体" w:cs="宋体"/>
                <w:sz w:val="24"/>
                <w:szCs w:val="32"/>
                <w:lang w:val="en-US" w:eastAsia="zh-CN"/>
              </w:rPr>
              <w:t>崖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充电车数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}{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基础指标1、基础指标2</w:t>
            </w:r>
            <w:r>
              <w:rPr>
                <w:rFonts w:ascii="仿宋_GB2312" w:hAnsi="仿宋_GB2312" w:eastAsia="仿宋_GB2312" w:cs="仿宋_GB2312"/>
                <w:color w:val="FF0000"/>
                <w:sz w:val="24"/>
                <w:szCs w:val="32"/>
              </w:rPr>
              <w:t>...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基础指标</w:t>
            </w:r>
            <w:r>
              <w:rPr>
                <w:rFonts w:ascii="仿宋_GB2312" w:hAnsi="仿宋_GB2312" w:eastAsia="仿宋_GB2312" w:cs="仿宋_GB2312"/>
                <w:color w:val="FF0000"/>
                <w:sz w:val="24"/>
                <w:szCs w:val="32"/>
              </w:rPr>
              <w:t>n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、</w:t>
            </w:r>
            <w:r>
              <w:rPr>
                <w:rFonts w:ascii="仿宋_GB2312" w:hAnsi="仿宋_GB2312" w:eastAsia="仿宋_GB2312" w:cs="仿宋_GB2312"/>
                <w:color w:val="FF0000"/>
                <w:sz w:val="24"/>
                <w:szCs w:val="32"/>
              </w:rPr>
              <w:t>/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</w:t>
            </w:r>
            <w:r>
              <w:rPr>
                <w:rFonts w:ascii="仿宋_GB2312" w:hAnsi="仿宋_GB2312" w:eastAsia="仿宋_GB2312" w:cs="仿宋_GB2312"/>
                <w:color w:val="FF0000"/>
                <w:sz w:val="24"/>
                <w:szCs w:val="32"/>
              </w:rPr>
              <w:t>/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为空值）</w:t>
            </w:r>
          </w:p>
        </w:tc>
      </w:tr>
      <w:tr w14:paraId="40F349C4">
        <w:tc>
          <w:tcPr>
            <w:tcW w:w="1560" w:type="dxa"/>
            <w:tcBorders>
              <w:top w:val="single" w:color="auto" w:sz="4" w:space="0"/>
            </w:tcBorders>
          </w:tcPr>
          <w:p w14:paraId="6FF4A971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</w:rPr>
              <w:t>交通安全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（一级指标）</w:t>
            </w:r>
          </w:p>
        </w:tc>
        <w:tc>
          <w:tcPr>
            <w:tcW w:w="1701" w:type="dxa"/>
          </w:tcPr>
          <w:p w14:paraId="18153948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val="en-US" w:eastAsia="zh-CN"/>
              </w:rPr>
              <w:t>23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</w:p>
        </w:tc>
        <w:tc>
          <w:tcPr>
            <w:tcW w:w="3022" w:type="dxa"/>
          </w:tcPr>
          <w:p w14:paraId="014341EC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同比{⬆ ⬇}️{9.5%}，环比{⬆ ⬇}{9.1%}，同单位比{⬆ ⬇}{5%}，同线路比{⬆ ⬇}{10%}</w:t>
            </w:r>
          </w:p>
        </w:tc>
        <w:tc>
          <w:tcPr>
            <w:tcW w:w="2131" w:type="dxa"/>
          </w:tcPr>
          <w:p w14:paraId="0C44A825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人车分流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人车流量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（如上）</w:t>
            </w:r>
          </w:p>
        </w:tc>
      </w:tr>
      <w:tr w14:paraId="7C5C1A0B">
        <w:tc>
          <w:tcPr>
            <w:tcW w:w="1560" w:type="dxa"/>
          </w:tcPr>
          <w:p w14:paraId="5061BDA1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</w:rPr>
              <w:t>三防安全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（一级指标）</w:t>
            </w:r>
          </w:p>
        </w:tc>
        <w:tc>
          <w:tcPr>
            <w:tcW w:w="1701" w:type="dxa"/>
          </w:tcPr>
          <w:p w14:paraId="50B4AE57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val="en-US" w:eastAsia="zh-CN"/>
              </w:rPr>
              <w:t>12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</w:p>
        </w:tc>
        <w:tc>
          <w:tcPr>
            <w:tcW w:w="3022" w:type="dxa"/>
          </w:tcPr>
          <w:p w14:paraId="3E912C2D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同比{⬆ ⬇}️{9.5%}，环比{⬆ ⬇}{9.1%}，同单位比{⬆ ⬇}{5%}，同线路比{⬆ ⬇}{10%}</w:t>
            </w:r>
          </w:p>
        </w:tc>
        <w:tc>
          <w:tcPr>
            <w:tcW w:w="2131" w:type="dxa"/>
          </w:tcPr>
          <w:p w14:paraId="62589BC1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临水临</w:t>
            </w:r>
            <w:r>
              <w:rPr>
                <w:rFonts w:hint="eastAsia" w:ascii="宋体" w:hAnsi="宋体" w:eastAsia="宋体" w:cs="宋体"/>
                <w:sz w:val="24"/>
                <w:szCs w:val="32"/>
                <w:lang w:val="en-US" w:eastAsia="zh-CN"/>
              </w:rPr>
              <w:t>崖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（如上）</w:t>
            </w:r>
          </w:p>
        </w:tc>
      </w:tr>
      <w:tr w14:paraId="7FDF5AD3">
        <w:tc>
          <w:tcPr>
            <w:tcW w:w="1560" w:type="dxa"/>
          </w:tcPr>
          <w:p w14:paraId="74601D84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</w:rPr>
              <w:t>消防安全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（一级指标）</w:t>
            </w:r>
          </w:p>
        </w:tc>
        <w:tc>
          <w:tcPr>
            <w:tcW w:w="1701" w:type="dxa"/>
          </w:tcPr>
          <w:p w14:paraId="2659452B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</w:p>
        </w:tc>
        <w:tc>
          <w:tcPr>
            <w:tcW w:w="3022" w:type="dxa"/>
          </w:tcPr>
          <w:p w14:paraId="49BF51F8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同比{⬆ ⬇}️{9.5%}，环比{⬆ ⬇}{9.1%}，同单位比{⬆ ⬇}{5%}，同线路比{⬆ ⬇}{10%}</w:t>
            </w:r>
          </w:p>
        </w:tc>
        <w:tc>
          <w:tcPr>
            <w:tcW w:w="2131" w:type="dxa"/>
          </w:tcPr>
          <w:p w14:paraId="4BB87EA5">
            <w:pPr>
              <w:rPr>
                <w:rFonts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t>充电车数</w:t>
            </w: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}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4"/>
                <w:szCs w:val="32"/>
              </w:rPr>
              <w:t>（如上）</w:t>
            </w:r>
          </w:p>
        </w:tc>
      </w:tr>
    </w:tbl>
    <w:p w14:paraId="6F7A9A16">
      <w:pPr>
        <w:numPr>
          <w:ilvl w:val="255"/>
          <w:numId w:val="0"/>
        </w:numPr>
        <w:rPr>
          <w:rFonts w:ascii="仿宋_GB2312" w:hAnsi="仿宋_GB2312" w:eastAsia="仿宋_GB2312" w:cs="仿宋_GB2312"/>
          <w:sz w:val="24"/>
          <w:szCs w:val="32"/>
        </w:rPr>
      </w:pPr>
    </w:p>
    <w:p w14:paraId="4D7623E5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二、核心风险研判</w:t>
      </w:r>
    </w:p>
    <w:p w14:paraId="31E291B1">
      <w:pPr>
        <w:ind w:firstLine="480" w:firstLineChars="200"/>
        <w:rPr>
          <w:rFonts w:ascii="仿宋_GB2312" w:hAnsi="仿宋_GB2312" w:eastAsia="仿宋_GB2312" w:cs="仿宋_GB2312"/>
          <w:color w:val="0000FF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综合近期运行数据判断，该站场</w:t>
      </w:r>
      <w:r>
        <w:rPr>
          <w:rFonts w:hint="eastAsia" w:ascii="仿宋_GB2312" w:hAnsi="仿宋_GB2312" w:eastAsia="仿宋_GB2312" w:cs="仿宋_GB2312"/>
          <w:sz w:val="24"/>
          <w:szCs w:val="32"/>
        </w:rPr>
        <w:t>综合风险值为{43}分，当前处于 {安全/观察/关注/危险}状态，综合表现位于所属单位第{50}名{(50/90)}，显示其 {优于/差于}多数</w:t>
      </w:r>
      <w:r>
        <w:rPr>
          <w:rFonts w:hint="eastAsia" w:ascii="宋体" w:hAnsi="宋体" w:eastAsia="宋体" w:cs="宋体"/>
          <w:sz w:val="24"/>
          <w:szCs w:val="32"/>
        </w:rPr>
        <w:t>站场</w:t>
      </w:r>
      <w:r>
        <w:rPr>
          <w:rFonts w:hint="eastAsia" w:ascii="仿宋_GB2312" w:hAnsi="仿宋_GB2312" w:eastAsia="仿宋_GB2312" w:cs="仿宋_GB2312"/>
          <w:sz w:val="24"/>
          <w:szCs w:val="32"/>
        </w:rPr>
        <w:t>，</w:t>
      </w:r>
      <w:r>
        <w:rPr>
          <w:rFonts w:ascii="仿宋_GB2312" w:hAnsi="仿宋_GB2312" w:eastAsia="仿宋_GB2312" w:cs="仿宋_GB2312"/>
          <w:sz w:val="24"/>
          <w:szCs w:val="32"/>
        </w:rPr>
        <w:t>[</w:t>
      </w:r>
      <w:r>
        <w:rPr>
          <w:rFonts w:hint="eastAsia" w:ascii="仿宋_GB2312" w:hAnsi="仿宋_GB2312" w:eastAsia="仿宋_GB2312" w:cs="仿宋_GB2312"/>
          <w:sz w:val="24"/>
          <w:szCs w:val="32"/>
        </w:rPr>
        <w:t>但领先优势正在收窄，若不干预，排名恐将快速滑落。</w:t>
      </w:r>
      <w:r>
        <w:rPr>
          <w:rFonts w:ascii="仿宋_GB2312" w:hAnsi="仿宋_GB2312" w:eastAsia="仿宋_GB2312" w:cs="仿宋_GB2312"/>
          <w:sz w:val="24"/>
          <w:szCs w:val="32"/>
        </w:rPr>
        <w:t>]</w:t>
      </w:r>
    </w:p>
    <w:p w14:paraId="4B84CDB3">
      <w:pPr>
        <w:rPr>
          <w:rFonts w:hint="eastAsia" w:ascii="仿宋_GB2312" w:hAnsi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三、行为与数据关联分析</w:t>
      </w:r>
      <w:r>
        <w:rPr>
          <w:rFonts w:hint="eastAsia" w:ascii="仿宋_GB2312" w:hAnsi="仿宋_GB2312" w:eastAsia="仿宋_GB2312" w:cs="仿宋_GB2312"/>
          <w:color w:val="FF0000"/>
          <w:sz w:val="24"/>
          <w:szCs w:val="32"/>
        </w:rPr>
        <w:t>（分析多维绩效看板中各行一级指标的数据，若该项一级指标中没有核心风险，则无需分析此一级指标）</w:t>
      </w:r>
    </w:p>
    <w:p w14:paraId="6C09BC34">
      <w:pPr>
        <w:rPr>
          <w:rFonts w:hint="eastAsia" w:ascii="仿宋_GB2312" w:hAnsi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从该</w:t>
      </w:r>
      <w:r>
        <w:rPr>
          <w:rFonts w:hint="eastAsia" w:ascii="宋体" w:hAnsi="宋体" w:eastAsia="宋体" w:cs="宋体"/>
          <w:sz w:val="24"/>
          <w:szCs w:val="32"/>
        </w:rPr>
        <w:t>站场</w:t>
      </w:r>
      <w:r>
        <w:rPr>
          <w:rFonts w:hint="eastAsia" w:ascii="仿宋_GB2312" w:hAnsi="仿宋_GB2312" w:eastAsia="仿宋_GB2312" w:cs="仿宋_GB2312"/>
          <w:sz w:val="24"/>
          <w:szCs w:val="32"/>
        </w:rPr>
        <w:t>画像整体情况来看：</w:t>
      </w:r>
    </w:p>
    <w:p w14:paraId="5AC8567F">
      <w:pPr>
        <w:pStyle w:val="5"/>
        <w:ind w:left="480" w:hanging="48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风险最高的一级指标是{交通安全}（一级指标）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，这是因为{人车分流}（基础指标）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风险触发频次达{24次}、{人车流量}（基础指标）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达 {20次}，均处于，处于危险型分数区间，[说明该站场在客流管控与硬件配套适配性方面存在短板。该类风险若持续存在，将显著增加站场事故的发生概率，是当前需要重点关注的风险来源之一。</w:t>
      </w:r>
      <w:r>
        <w:rPr>
          <w:rFonts w:hint="default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]</w:t>
      </w:r>
    </w:p>
    <w:p w14:paraId="60DED422">
      <w:pPr>
        <w:pStyle w:val="5"/>
        <w:ind w:left="480" w:hanging="48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其次是{三防安全}</w:t>
      </w:r>
      <w:r>
        <w:rPr>
          <w:rFonts w:hint="eastAsia"/>
          <w:color w:val="FF0000"/>
          <w:sz w:val="24"/>
        </w:rPr>
        <w:t>（一级指标）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 xml:space="preserve">，该站场的{临水临崖} </w:t>
      </w:r>
      <w:r>
        <w:rPr>
          <w:rFonts w:hint="eastAsia"/>
          <w:color w:val="FF000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</w:rPr>
        <w:t>基础</w:t>
      </w:r>
      <w:r>
        <w:rPr>
          <w:rFonts w:hint="eastAsia"/>
          <w:color w:val="FF0000"/>
          <w:sz w:val="24"/>
        </w:rPr>
        <w:t>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风险触发频次达{20 次}，处于危险型分数区间。[反映该站场若未及时加固防护、优化排水，三防风险可能进一步向运营中断事件传导。</w:t>
      </w:r>
      <w:r>
        <w:rPr>
          <w:rFonts w:hint="default" w:ascii="仿宋_GB2312" w:hAnsi="仿宋_GB2312" w:eastAsia="仿宋_GB2312" w:cs="仿宋_GB2312"/>
          <w:sz w:val="24"/>
          <w:szCs w:val="32"/>
          <w:lang w:val="en-US"/>
        </w:rPr>
        <w:t>]</w:t>
      </w:r>
    </w:p>
    <w:p w14:paraId="6D146997">
      <w:pPr>
        <w:pStyle w:val="5"/>
        <w:ind w:left="480" w:hanging="480"/>
        <w:rPr>
          <w:sz w:val="24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最后是{消防安全}（</w:t>
      </w:r>
      <w:r>
        <w:rPr>
          <w:rFonts w:hint="eastAsia"/>
          <w:color w:val="FF0000"/>
          <w:sz w:val="24"/>
        </w:rPr>
        <w:t>一级指标）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，该站场的 {充电车数}</w:t>
      </w:r>
      <w:r>
        <w:rPr>
          <w:rFonts w:hint="eastAsia"/>
          <w:color w:val="FF000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</w:rPr>
        <w:t>基础</w:t>
      </w:r>
      <w:r>
        <w:rPr>
          <w:rFonts w:hint="eastAsia"/>
          <w:color w:val="FF0000"/>
          <w:sz w:val="24"/>
        </w:rPr>
        <w:t>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风险触发频次达 {24 次}，处于危险型分数区间。[反映充电区域的布局规划仍有不足，该类风险具有 “隐蔽性、易扩散” 的特点，是管理干预中需要重点补全的内容。</w:t>
      </w:r>
      <w:r>
        <w:rPr>
          <w:rFonts w:hint="default" w:ascii="仿宋_GB2312" w:hAnsi="仿宋_GB2312" w:eastAsia="仿宋_GB2312" w:cs="仿宋_GB2312"/>
          <w:sz w:val="24"/>
          <w:szCs w:val="32"/>
          <w:lang w:val="en-US"/>
        </w:rPr>
        <w:t>]</w:t>
      </w:r>
    </w:p>
    <w:p w14:paraId="6804EC2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四、针对性干预建议</w:t>
      </w:r>
      <w:r>
        <w:rPr>
          <w:rFonts w:hint="eastAsia" w:ascii="仿宋_GB2312" w:hAnsi="仿宋_GB2312" w:eastAsia="仿宋_GB2312" w:cs="仿宋_GB2312"/>
          <w:color w:val="FF0000"/>
          <w:sz w:val="24"/>
          <w:szCs w:val="32"/>
        </w:rPr>
        <w:t>（</w:t>
      </w:r>
      <w:r>
        <w:rPr>
          <w:rFonts w:hint="eastAsia" w:ascii="仿宋_GB2312" w:hAnsi="仿宋_GB2312" w:eastAsia="仿宋_GB2312" w:cs="仿宋_GB2312"/>
          <w:color w:val="FF0000"/>
          <w:sz w:val="24"/>
          <w:szCs w:val="32"/>
          <w:lang w:val="en-US" w:eastAsia="zh-CN"/>
        </w:rPr>
        <w:t>指标排名根据系统“风险追踪列表”里基础指标的风险值分数排名来定</w:t>
      </w:r>
      <w:r>
        <w:rPr>
          <w:rFonts w:hint="eastAsia" w:ascii="仿宋_GB2312" w:hAnsi="仿宋_GB2312" w:eastAsia="仿宋_GB2312" w:cs="仿宋_GB2312"/>
          <w:color w:val="FF0000"/>
          <w:sz w:val="24"/>
          <w:szCs w:val="32"/>
        </w:rPr>
        <w:t>）</w:t>
      </w:r>
    </w:p>
    <w:p w14:paraId="48B6D308">
      <w:pPr>
        <w:ind w:firstLine="240" w:firstLineChars="100"/>
        <w:rPr>
          <w:rFonts w:hint="eastAsia" w:ascii="仿宋_GB2312" w:hAnsi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对于风险较高的基础指标，本系统给出以下建议</w:t>
      </w:r>
      <w:r>
        <w:rPr>
          <w:rFonts w:hint="eastAsia" w:ascii="仿宋_GB2312" w:hAnsi="仿宋_GB2312" w:cs="仿宋_GB2312"/>
          <w:sz w:val="24"/>
          <w:szCs w:val="32"/>
        </w:rPr>
        <w:t>：</w:t>
      </w:r>
    </w:p>
    <w:p w14:paraId="6163BF17">
      <w:pPr>
        <w:pStyle w:val="5"/>
        <w:ind w:left="480" w:hanging="48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风险最高的基础指标是{人车分流}</w:t>
      </w:r>
      <w:r>
        <w:rPr>
          <w:rFonts w:hint="eastAsia"/>
          <w:color w:val="FF0000"/>
          <w:sz w:val="24"/>
          <w:szCs w:val="32"/>
        </w:rPr>
        <w:t>（基础指标）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，{根据《穗巴士集〔2023〕98号 广州巴士集团有限公司关于印发交通安全管理规定的通知》，建议建立人车分流指标监测台账，数据超标时及时干预，避免风险扩散。}</w:t>
      </w:r>
    </w:p>
    <w:p w14:paraId="19E3A277">
      <w:pPr>
        <w:pStyle w:val="5"/>
        <w:ind w:left="480" w:hanging="480" w:firstLineChars="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其次是{人车流量}</w:t>
      </w:r>
      <w:r>
        <w:rPr>
          <w:rFonts w:hint="eastAsia"/>
          <w:color w:val="FF000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</w:rPr>
        <w:t>基础</w:t>
      </w:r>
      <w:r>
        <w:rPr>
          <w:rFonts w:hint="eastAsia"/>
          <w:color w:val="FF0000"/>
          <w:sz w:val="24"/>
        </w:rPr>
        <w:t>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，{根据《穗巴士集〔2023〕98号 广州巴士集团有限公司关于印发交通安全管理规定的通知》，建议建立人车流量指标监测台账，数据超标时及时干预，避免风险扩散。}</w:t>
      </w:r>
    </w:p>
    <w:p w14:paraId="1DA3AE20">
      <w:pPr>
        <w:pStyle w:val="5"/>
        <w:ind w:left="480" w:hanging="480" w:firstLineChars="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再次是{临水临崖}</w:t>
      </w:r>
      <w:r>
        <w:rPr>
          <w:rFonts w:hint="eastAsia"/>
          <w:color w:val="FF000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</w:rPr>
        <w:t>基础</w:t>
      </w:r>
      <w:r>
        <w:rPr>
          <w:rFonts w:hint="eastAsia"/>
          <w:color w:val="FF0000"/>
          <w:sz w:val="24"/>
        </w:rPr>
        <w:t>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，{根据《穗巴士集〔2022〕59号 广州巴士集团有限公司关于印发防汛防旱防风防冻应急预案的通知》，建议建立-指标监测台账，数据超标时及时干预，避免风险扩散。}</w:t>
      </w:r>
    </w:p>
    <w:p w14:paraId="1B127639">
      <w:pPr>
        <w:pStyle w:val="5"/>
        <w:ind w:left="480" w:hanging="480" w:firstLineChars="0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最后是{充电车数}</w:t>
      </w:r>
      <w:r>
        <w:rPr>
          <w:rFonts w:hint="eastAsia"/>
          <w:color w:val="FF0000"/>
          <w:sz w:val="24"/>
        </w:rPr>
        <w:t>（</w:t>
      </w:r>
      <w:r>
        <w:rPr>
          <w:rFonts w:hint="eastAsia" w:ascii="宋体" w:hAnsi="宋体" w:eastAsia="宋体" w:cs="宋体"/>
          <w:color w:val="FF0000"/>
          <w:sz w:val="24"/>
        </w:rPr>
        <w:t>基础</w:t>
      </w:r>
      <w:r>
        <w:rPr>
          <w:rFonts w:hint="eastAsia"/>
          <w:color w:val="FF0000"/>
          <w:sz w:val="24"/>
        </w:rPr>
        <w:t>指标）</w:t>
      </w:r>
      <w:r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  <w:t>，{根据《穗巴士集〔2023〕41号 广州巴士集团有限公司关于印发消防安全管理规定的通知》，建议建立-指标监测台账，数据超标时及时干预，避免风险扩散。}</w:t>
      </w:r>
    </w:p>
    <w:p w14:paraId="012C4A14">
      <w:pPr>
        <w:rPr>
          <w:rFonts w:ascii="仿宋_GB2312" w:hAnsi="仿宋_GB2312" w:eastAsia="仿宋_GB2312" w:cs="仿宋_GB2312"/>
          <w:b/>
          <w:bCs/>
          <w:sz w:val="24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32"/>
        </w:rPr>
        <w:t>【AI 补充附加回复】</w:t>
      </w:r>
    </w:p>
    <w:p w14:paraId="1B228E86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如有需要，我可以生成简版结论用于汇报展示，</w:t>
      </w:r>
    </w:p>
    <w:p w14:paraId="17C2796F">
      <w:pPr>
        <w:rPr>
          <w:rFonts w:ascii="仿宋_GB2312" w:hAnsi="仿宋_GB2312" w:eastAsia="仿宋_GB2312" w:cs="仿宋_GB2312"/>
          <w:sz w:val="24"/>
          <w:szCs w:val="32"/>
        </w:rPr>
      </w:pPr>
      <w:r>
        <w:rPr>
          <w:rFonts w:hint="eastAsia" w:ascii="仿宋_GB2312" w:hAnsi="仿宋_GB2312" w:eastAsia="仿宋_GB2312" w:cs="仿宋_GB2312"/>
          <w:sz w:val="24"/>
          <w:szCs w:val="32"/>
        </w:rPr>
        <w:t>或进一步提供与</w:t>
      </w:r>
      <w:r>
        <w:rPr>
          <w:rFonts w:hint="eastAsia" w:ascii="宋体" w:hAnsi="宋体" w:eastAsia="宋体" w:cs="宋体"/>
          <w:sz w:val="24"/>
          <w:szCs w:val="32"/>
        </w:rPr>
        <w:t>站场</w:t>
      </w:r>
      <w:r>
        <w:rPr>
          <w:rFonts w:hint="eastAsia" w:ascii="仿宋_GB2312" w:hAnsi="仿宋_GB2312" w:eastAsia="仿宋_GB2312" w:cs="仿宋_GB2312"/>
          <w:sz w:val="24"/>
          <w:szCs w:val="32"/>
        </w:rPr>
        <w:t>、分公司平均水平的对比分析。</w:t>
      </w:r>
    </w:p>
    <w:p w14:paraId="461844E4">
      <w:pPr>
        <w:rPr>
          <w:rFonts w:hint="eastAsia" w:ascii="仿宋_GB2312" w:hAnsi="仿宋_GB2312" w:cs="仿宋_GB2312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6DDAE"/>
    <w:multiLevelType w:val="singleLevel"/>
    <w:tmpl w:val="C756DDA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">
    <w:nsid w:val="3C5E61D1"/>
    <w:multiLevelType w:val="singleLevel"/>
    <w:tmpl w:val="3C5E61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FFAD355"/>
    <w:multiLevelType w:val="singleLevel"/>
    <w:tmpl w:val="6FFAD355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wNWNkM2QyMzk3YzI0NjMxMmYzNDU0ZmI3OThhZDEifQ=="/>
  </w:docVars>
  <w:rsids>
    <w:rsidRoot w:val="FFD342F8"/>
    <w:rsid w:val="00057FE5"/>
    <w:rsid w:val="00186055"/>
    <w:rsid w:val="00217FF1"/>
    <w:rsid w:val="002437AB"/>
    <w:rsid w:val="005170CB"/>
    <w:rsid w:val="0053489B"/>
    <w:rsid w:val="00670461"/>
    <w:rsid w:val="006C7688"/>
    <w:rsid w:val="00701D35"/>
    <w:rsid w:val="00725FE9"/>
    <w:rsid w:val="00960BE9"/>
    <w:rsid w:val="009B7F86"/>
    <w:rsid w:val="00AA227E"/>
    <w:rsid w:val="00B25572"/>
    <w:rsid w:val="00BB48AD"/>
    <w:rsid w:val="00CA6ACE"/>
    <w:rsid w:val="00D5023D"/>
    <w:rsid w:val="00DF38CE"/>
    <w:rsid w:val="00F425DE"/>
    <w:rsid w:val="00FD5F89"/>
    <w:rsid w:val="1964A433"/>
    <w:rsid w:val="2C7FE0E2"/>
    <w:rsid w:val="2D472C95"/>
    <w:rsid w:val="37ED45D7"/>
    <w:rsid w:val="3EBAC539"/>
    <w:rsid w:val="3FF74F11"/>
    <w:rsid w:val="3FF950F1"/>
    <w:rsid w:val="3FFFA17D"/>
    <w:rsid w:val="42DE1C12"/>
    <w:rsid w:val="487F0BA4"/>
    <w:rsid w:val="4BB6EDC8"/>
    <w:rsid w:val="5B3FBD0A"/>
    <w:rsid w:val="5CEF2663"/>
    <w:rsid w:val="5F7F3779"/>
    <w:rsid w:val="69FF13ED"/>
    <w:rsid w:val="6F132739"/>
    <w:rsid w:val="6F77216C"/>
    <w:rsid w:val="6FD2093F"/>
    <w:rsid w:val="6FF9E4C9"/>
    <w:rsid w:val="70BFACFE"/>
    <w:rsid w:val="75DF4E46"/>
    <w:rsid w:val="765BC3E9"/>
    <w:rsid w:val="7679997D"/>
    <w:rsid w:val="7BDF3680"/>
    <w:rsid w:val="7CB3475D"/>
    <w:rsid w:val="7D509ACA"/>
    <w:rsid w:val="7E591960"/>
    <w:rsid w:val="7EFED2BB"/>
    <w:rsid w:val="7F3ADCF9"/>
    <w:rsid w:val="7F3F040D"/>
    <w:rsid w:val="7F8B969A"/>
    <w:rsid w:val="7FAF641B"/>
    <w:rsid w:val="7FBFF7DB"/>
    <w:rsid w:val="7FDF3162"/>
    <w:rsid w:val="7FED4E43"/>
    <w:rsid w:val="7FF64210"/>
    <w:rsid w:val="8FDD29E9"/>
    <w:rsid w:val="ADD7B75A"/>
    <w:rsid w:val="B7BF7779"/>
    <w:rsid w:val="B7BF9E48"/>
    <w:rsid w:val="B9FE788A"/>
    <w:rsid w:val="D7CD7E96"/>
    <w:rsid w:val="D8F9B2F8"/>
    <w:rsid w:val="DCFE028A"/>
    <w:rsid w:val="DF1FF17B"/>
    <w:rsid w:val="DFEDE73A"/>
    <w:rsid w:val="E7DFBDFF"/>
    <w:rsid w:val="EC5F6437"/>
    <w:rsid w:val="EFDAE7FD"/>
    <w:rsid w:val="EFDDAC21"/>
    <w:rsid w:val="F3FD9161"/>
    <w:rsid w:val="F4FF3320"/>
    <w:rsid w:val="FB53D261"/>
    <w:rsid w:val="FBBF9C79"/>
    <w:rsid w:val="FBFFFBBB"/>
    <w:rsid w:val="FD77214E"/>
    <w:rsid w:val="FDBB0E35"/>
    <w:rsid w:val="FE6F95AE"/>
    <w:rsid w:val="FEEE0D23"/>
    <w:rsid w:val="FEFCF59B"/>
    <w:rsid w:val="FF0FFA36"/>
    <w:rsid w:val="FF5EF1ED"/>
    <w:rsid w:val="FF7FCD16"/>
    <w:rsid w:val="FFBFE7B4"/>
    <w:rsid w:val="FFD188A6"/>
    <w:rsid w:val="FFD342F8"/>
    <w:rsid w:val="FFDBF227"/>
    <w:rsid w:val="FFDDD1AC"/>
    <w:rsid w:val="FFF7E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  <w:contextualSpacing/>
    </w:pPr>
  </w:style>
  <w:style w:type="paragraph" w:styleId="6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页眉 字符"/>
    <w:basedOn w:val="11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11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2917</Words>
  <Characters>3064</Characters>
  <Lines>180</Lines>
  <Paragraphs>239</Paragraphs>
  <TotalTime>0</TotalTime>
  <ScaleCrop>false</ScaleCrop>
  <LinksUpToDate>false</LinksUpToDate>
  <CharactersWithSpaces>5742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2026-03-02T23:42:00Z</dcterms:created>
  <dc:creator>yzy</dc:creator>
  <cp:lastModifiedBy>雪落无痕</cp:lastModifiedBy>
  <dcterms:modified xsi:type="dcterms:W3CDTF">2026-03-05T13:32:42Z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5FDCBAC4F422352B12FDA669A16A78F1_43</vt:lpwstr>
  </property>
</Properties>
</file>