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5C" w:rsidRDefault="00E26A3C" w:rsidP="00703933">
      <w:pPr>
        <w:pStyle w:val="GrandCanyonDocumentTitle"/>
      </w:pPr>
      <w:r>
        <w:t xml:space="preserve">Programming Exercise </w:t>
      </w:r>
      <w:r w:rsidR="00AB28F2">
        <w:t>3</w:t>
      </w:r>
    </w:p>
    <w:p w:rsidR="00770EB5" w:rsidRDefault="00770EB5" w:rsidP="00770EB5">
      <w:pPr>
        <w:pStyle w:val="GrandCanyonNumberedList"/>
        <w:numPr>
          <w:ilvl w:val="0"/>
          <w:numId w:val="0"/>
        </w:numPr>
      </w:pPr>
    </w:p>
    <w:p w:rsidR="000D0792" w:rsidRDefault="00E26A3C" w:rsidP="00770EB5">
      <w:pPr>
        <w:pStyle w:val="GrandCanyonNumberedList"/>
        <w:numPr>
          <w:ilvl w:val="0"/>
          <w:numId w:val="0"/>
        </w:numPr>
      </w:pPr>
      <w:r>
        <w:t xml:space="preserve"> </w:t>
      </w:r>
    </w:p>
    <w:tbl>
      <w:tblPr>
        <w:tblW w:w="140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766"/>
        <w:gridCol w:w="2123"/>
        <w:gridCol w:w="2340"/>
        <w:gridCol w:w="2160"/>
        <w:gridCol w:w="2340"/>
        <w:gridCol w:w="2273"/>
      </w:tblGrid>
      <w:tr w:rsidR="00E26A3C" w:rsidRPr="00300970" w:rsidTr="00E26A3C">
        <w:tc>
          <w:tcPr>
            <w:tcW w:w="2038" w:type="dxa"/>
          </w:tcPr>
          <w:p w:rsidR="001B2FE6" w:rsidRPr="00300970" w:rsidRDefault="001B2FE6" w:rsidP="00F6160E">
            <w:pPr>
              <w:jc w:val="center"/>
            </w:pPr>
            <w:r w:rsidRPr="003C2DC9">
              <w:t>Criteria</w:t>
            </w:r>
          </w:p>
        </w:tc>
        <w:tc>
          <w:tcPr>
            <w:tcW w:w="766" w:type="dxa"/>
          </w:tcPr>
          <w:p w:rsidR="001B2FE6" w:rsidRPr="003C2DC9" w:rsidRDefault="00450B6D" w:rsidP="00F6160E">
            <w:pPr>
              <w:jc w:val="center"/>
            </w:pPr>
            <w:r>
              <w:t xml:space="preserve">% </w:t>
            </w:r>
            <w:r w:rsidR="001B2FE6">
              <w:t>Value</w:t>
            </w:r>
          </w:p>
        </w:tc>
        <w:tc>
          <w:tcPr>
            <w:tcW w:w="2123" w:type="dxa"/>
          </w:tcPr>
          <w:p w:rsidR="001B2FE6" w:rsidRPr="003C2DC9" w:rsidRDefault="001B2FE6" w:rsidP="00F6160E">
            <w:pPr>
              <w:jc w:val="center"/>
            </w:pPr>
            <w:r w:rsidRPr="003C2DC9">
              <w:t>1: Unsatisfactory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 xml:space="preserve">2: Less </w:t>
            </w:r>
            <w:r w:rsidR="007C3600">
              <w:t>T</w:t>
            </w:r>
            <w:r w:rsidRPr="003C2DC9">
              <w:t>han Satisfactory</w:t>
            </w:r>
          </w:p>
        </w:tc>
        <w:tc>
          <w:tcPr>
            <w:tcW w:w="2160" w:type="dxa"/>
          </w:tcPr>
          <w:p w:rsidR="001B2FE6" w:rsidRPr="003C2DC9" w:rsidRDefault="001B2FE6" w:rsidP="00F6160E">
            <w:pPr>
              <w:jc w:val="center"/>
            </w:pPr>
            <w:r w:rsidRPr="003C2DC9">
              <w:t>3: 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>4: Good</w:t>
            </w:r>
          </w:p>
        </w:tc>
        <w:tc>
          <w:tcPr>
            <w:tcW w:w="2273" w:type="dxa"/>
          </w:tcPr>
          <w:p w:rsidR="001B2FE6" w:rsidRPr="003C2DC9" w:rsidRDefault="001B2FE6" w:rsidP="00F6160E">
            <w:pPr>
              <w:jc w:val="center"/>
            </w:pPr>
            <w:r w:rsidRPr="003C2DC9">
              <w:t>5: Excellent</w:t>
            </w:r>
          </w:p>
        </w:tc>
      </w:tr>
      <w:tr w:rsidR="00E26A3C" w:rsidRPr="00F6160E" w:rsidTr="00E26A3C">
        <w:tc>
          <w:tcPr>
            <w:tcW w:w="2038" w:type="dxa"/>
          </w:tcPr>
          <w:p w:rsidR="00450B6D" w:rsidRPr="00F6160E" w:rsidRDefault="00450B6D" w:rsidP="00CD47C4">
            <w:pPr>
              <w:rPr>
                <w:b/>
                <w:szCs w:val="20"/>
              </w:rPr>
            </w:pPr>
            <w:r w:rsidRPr="00F6160E">
              <w:rPr>
                <w:b/>
                <w:szCs w:val="20"/>
              </w:rPr>
              <w:t>% Scaling</w:t>
            </w:r>
          </w:p>
        </w:tc>
        <w:tc>
          <w:tcPr>
            <w:tcW w:w="766" w:type="dxa"/>
          </w:tcPr>
          <w:p w:rsidR="00450B6D" w:rsidRPr="00F6160E" w:rsidRDefault="00450B6D" w:rsidP="00CD47C4">
            <w:pPr>
              <w:rPr>
                <w:szCs w:val="20"/>
              </w:rPr>
            </w:pPr>
          </w:p>
        </w:tc>
        <w:tc>
          <w:tcPr>
            <w:tcW w:w="212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0%</w:t>
            </w:r>
          </w:p>
        </w:tc>
        <w:tc>
          <w:tcPr>
            <w:tcW w:w="2340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6</w:t>
            </w:r>
            <w:r w:rsidR="008C0784" w:rsidRPr="00F6160E">
              <w:rPr>
                <w:szCs w:val="20"/>
              </w:rPr>
              <w:t>5</w:t>
            </w:r>
            <w:r w:rsidRPr="00F6160E">
              <w:rPr>
                <w:szCs w:val="20"/>
              </w:rPr>
              <w:t>%</w:t>
            </w:r>
          </w:p>
        </w:tc>
        <w:tc>
          <w:tcPr>
            <w:tcW w:w="216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7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34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8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27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100%</w:t>
            </w:r>
          </w:p>
        </w:tc>
      </w:tr>
      <w:tr w:rsidR="000219F2" w:rsidRPr="00F6160E" w:rsidTr="00F6160E">
        <w:tc>
          <w:tcPr>
            <w:tcW w:w="14040" w:type="dxa"/>
            <w:gridSpan w:val="7"/>
          </w:tcPr>
          <w:p w:rsidR="000219F2" w:rsidRPr="00F6160E" w:rsidRDefault="000219F2" w:rsidP="00F6160E">
            <w:pPr>
              <w:jc w:val="center"/>
              <w:rPr>
                <w:b/>
                <w:sz w:val="32"/>
                <w:szCs w:val="32"/>
              </w:rPr>
            </w:pPr>
            <w:r w:rsidRPr="00F6160E">
              <w:rPr>
                <w:b/>
                <w:sz w:val="32"/>
                <w:szCs w:val="32"/>
              </w:rPr>
              <w:t>Content</w:t>
            </w:r>
            <w:r w:rsidR="00502F8A">
              <w:rPr>
                <w:b/>
                <w:sz w:val="32"/>
                <w:szCs w:val="32"/>
              </w:rPr>
              <w:t xml:space="preserve"> – 10</w:t>
            </w:r>
            <w:r w:rsidR="00A75A92" w:rsidRPr="00F6160E">
              <w:rPr>
                <w:b/>
                <w:sz w:val="32"/>
                <w:szCs w:val="32"/>
              </w:rPr>
              <w:t>0%</w:t>
            </w:r>
          </w:p>
        </w:tc>
      </w:tr>
      <w:tr w:rsidR="001D43DD" w:rsidRPr="005F45C8" w:rsidTr="005F45C8">
        <w:tc>
          <w:tcPr>
            <w:tcW w:w="2038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Document an algorithmic process</w:t>
            </w:r>
          </w:p>
          <w:p w:rsidR="001D43DD" w:rsidRPr="005F45C8" w:rsidRDefault="005F45C8" w:rsidP="005F45C8">
            <w:pPr>
              <w:spacing w:line="237" w:lineRule="atLeast"/>
              <w:rPr>
                <w:rFonts w:asciiTheme="minorHAnsi" w:hAnsiTheme="minorHAnsi"/>
                <w:bCs/>
                <w:szCs w:val="20"/>
              </w:rPr>
            </w:pPr>
            <w:r w:rsidRPr="005F45C8">
              <w:rPr>
                <w:rFonts w:asciiTheme="minorHAnsi" w:hAnsiTheme="minorHAnsi"/>
                <w:bCs/>
                <w:szCs w:val="20"/>
              </w:rPr>
              <w:t>(flowchart)</w:t>
            </w:r>
          </w:p>
        </w:tc>
        <w:tc>
          <w:tcPr>
            <w:tcW w:w="766" w:type="dxa"/>
            <w:shd w:val="clear" w:color="auto" w:fill="auto"/>
          </w:tcPr>
          <w:p w:rsidR="001D43DD" w:rsidRPr="005F45C8" w:rsidRDefault="005F45C8" w:rsidP="001D43DD">
            <w:pPr>
              <w:rPr>
                <w:rFonts w:asciiTheme="minorHAnsi" w:hAnsiTheme="minorHAnsi"/>
                <w:szCs w:val="20"/>
              </w:rPr>
            </w:pPr>
            <w:r w:rsidRPr="005F45C8">
              <w:rPr>
                <w:rFonts w:asciiTheme="minorHAnsi" w:hAnsiTheme="minorHAnsi"/>
                <w:szCs w:val="20"/>
              </w:rPr>
              <w:t>50%</w:t>
            </w:r>
          </w:p>
        </w:tc>
        <w:tc>
          <w:tcPr>
            <w:tcW w:w="2123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Missing</w:t>
            </w:r>
          </w:p>
          <w:p w:rsidR="001D43DD" w:rsidRPr="005F45C8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Flowchart does not give accurate or sufficient detail to trace the logic of the guessing game program.  Flowchart is messy and of otherwise unprofessional quality.</w:t>
            </w:r>
          </w:p>
          <w:p w:rsidR="001D43DD" w:rsidRPr="005F45C8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Flowchart documents the guessing game process clearly and contains most of the program logic.  Standard flowchart symbols are used in most cases.</w:t>
            </w:r>
          </w:p>
          <w:p w:rsidR="001D43DD" w:rsidRPr="005F45C8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D43DD" w:rsidRPr="005F45C8" w:rsidRDefault="005F45C8" w:rsidP="005F45C8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Flowchart documents the guessing game process clearly and contains sufficient detail to trace the logic of the program.  Standard flowchart symbols are used.  Flowchar</w:t>
            </w:r>
            <w:r w:rsidRPr="005F45C8">
              <w:rPr>
                <w:rFonts w:ascii="Calibri" w:hAnsi="Calibri"/>
                <w:color w:val="000000"/>
                <w:szCs w:val="20"/>
              </w:rPr>
              <w:t>t is neatly formatted in the</w:t>
            </w:r>
            <w:r w:rsidRPr="005F45C8">
              <w:rPr>
                <w:rFonts w:ascii="Calibri" w:hAnsi="Calibri"/>
                <w:color w:val="000000"/>
                <w:szCs w:val="20"/>
              </w:rPr>
              <w:t xml:space="preserve"> correct file format.</w:t>
            </w:r>
          </w:p>
        </w:tc>
        <w:tc>
          <w:tcPr>
            <w:tcW w:w="2273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Flowchart documents the guessing game process exactly and with complete clarity.  Standard flowchart symbols are used and flowchart is professionally formatted and submitted as directed.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</w:p>
        </w:tc>
      </w:tr>
      <w:tr w:rsidR="001D43DD" w:rsidRPr="005F45C8" w:rsidTr="005F45C8">
        <w:tc>
          <w:tcPr>
            <w:tcW w:w="2038" w:type="dxa"/>
          </w:tcPr>
          <w:p w:rsidR="001D43DD" w:rsidRPr="005F45C8" w:rsidRDefault="005F45C8" w:rsidP="005F45C8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Utilize the relational and logical operators to create logical expressions and create appropriate selection structures as part of a programming solution.</w:t>
            </w:r>
          </w:p>
        </w:tc>
        <w:tc>
          <w:tcPr>
            <w:tcW w:w="766" w:type="dxa"/>
          </w:tcPr>
          <w:p w:rsidR="001D43DD" w:rsidRPr="005F45C8" w:rsidRDefault="005F45C8" w:rsidP="001D43DD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20%</w:t>
            </w:r>
          </w:p>
        </w:tc>
        <w:tc>
          <w:tcPr>
            <w:tcW w:w="2123" w:type="dxa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Relational operators not used, or used incorrectly in all cases.  Selection structures not present.</w:t>
            </w:r>
          </w:p>
          <w:p w:rsidR="001D43DD" w:rsidRPr="005F45C8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There is an attempt to form logical expressions and selection statements.</w:t>
            </w:r>
          </w:p>
          <w:p w:rsidR="001D43DD" w:rsidRPr="005F45C8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Logical expressions are used, but do not correctly compare user input to the computer generated target (for example, confusing &lt; with &gt;, or using &lt;= instead of &lt;)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Logical expressions and selection structures are correct with the exception of minor syntax errors (for example, placing a ; at the end of a logical test)</w:t>
            </w:r>
          </w:p>
          <w:p w:rsidR="001D43DD" w:rsidRPr="005F45C8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273" w:type="dxa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Logical expressions are correctly used to compare user input to the computer generated target value.</w:t>
            </w:r>
          </w:p>
          <w:p w:rsidR="001D43DD" w:rsidRPr="005F45C8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</w:tr>
      <w:tr w:rsidR="001D43DD" w:rsidRPr="005F45C8" w:rsidTr="001D43DD">
        <w:tc>
          <w:tcPr>
            <w:tcW w:w="2038" w:type="dxa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Utilize appropriate repetition structures as part of a programming solution.</w:t>
            </w:r>
          </w:p>
          <w:p w:rsidR="001D43DD" w:rsidRPr="005F45C8" w:rsidRDefault="001D43DD" w:rsidP="005F45C8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766" w:type="dxa"/>
          </w:tcPr>
          <w:p w:rsidR="001D43DD" w:rsidRPr="005F45C8" w:rsidRDefault="005F45C8" w:rsidP="001D43DD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20%</w:t>
            </w:r>
          </w:p>
        </w:tc>
        <w:tc>
          <w:tcPr>
            <w:tcW w:w="2123" w:type="dxa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Repetition structures not attempted.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Attempt is made to control program flow with a loop structure.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Looping is used control the program flow.  Loop only exits upon a winning guess or when the number of eligible guesses is exceeded, however there may be extraneous output.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Looping is correctly used control the program flow.  There is no extraneous output after a winning guess.</w:t>
            </w:r>
          </w:p>
          <w:p w:rsidR="001D43DD" w:rsidRPr="005F45C8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273" w:type="dxa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Looping is correctly used control the program flow.  There is no extraneous output after a winning guess.  Loop contains no break or continue statements.  Loop test is the sole controller of loop execution (e.g. loop has only one exit point).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</w:tr>
      <w:tr w:rsidR="001D43DD" w:rsidRPr="005F45C8" w:rsidTr="001D43DD">
        <w:tc>
          <w:tcPr>
            <w:tcW w:w="2038" w:type="dxa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Explanation of work in LOOM video</w:t>
            </w:r>
          </w:p>
          <w:p w:rsidR="001D43DD" w:rsidRPr="005F45C8" w:rsidRDefault="001D43DD" w:rsidP="005F45C8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766" w:type="dxa"/>
          </w:tcPr>
          <w:p w:rsidR="001D43DD" w:rsidRPr="005F45C8" w:rsidRDefault="005F45C8" w:rsidP="001D43DD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10%</w:t>
            </w:r>
            <w:bookmarkStart w:id="0" w:name="_GoBack"/>
            <w:bookmarkEnd w:id="0"/>
          </w:p>
        </w:tc>
        <w:tc>
          <w:tcPr>
            <w:tcW w:w="2123" w:type="dxa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Missing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Explanation is difficult to follow and it is unclear that the student understands their work.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Explanation is adequate. Some important details may be overlooked. Student exhibits a moderate understanding of their work.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Good pace and volume. Student clearly explains work, but may gloss over some details, while spending excess time on irrelevant parts of the program.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273" w:type="dxa"/>
          </w:tcPr>
          <w:p w:rsidR="005F45C8" w:rsidRPr="005F45C8" w:rsidRDefault="005F45C8" w:rsidP="005F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5F45C8">
              <w:rPr>
                <w:rFonts w:ascii="Calibri" w:hAnsi="Calibri"/>
                <w:color w:val="000000"/>
                <w:szCs w:val="20"/>
              </w:rPr>
              <w:t>Explanation is concise and precise, covers all requested material, and it is obvious that the student understands all aspects of the submitted program.</w:t>
            </w:r>
          </w:p>
          <w:p w:rsidR="001D43DD" w:rsidRPr="005F45C8" w:rsidRDefault="001D43DD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</w:tr>
    </w:tbl>
    <w:p w:rsidR="000D0792" w:rsidRDefault="000D0792" w:rsidP="00770EB5">
      <w:pPr>
        <w:pStyle w:val="GrandCanyonNumberedList"/>
        <w:numPr>
          <w:ilvl w:val="0"/>
          <w:numId w:val="0"/>
        </w:numPr>
      </w:pPr>
    </w:p>
    <w:p w:rsidR="00FA0435" w:rsidRDefault="00FA0435" w:rsidP="00772A1E">
      <w:pPr>
        <w:pStyle w:val="GrandCanyonNumberedList"/>
        <w:numPr>
          <w:ilvl w:val="0"/>
          <w:numId w:val="0"/>
        </w:numPr>
        <w:jc w:val="center"/>
      </w:pPr>
    </w:p>
    <w:sectPr w:rsidR="00FA0435" w:rsidSect="00825349">
      <w:footerReference w:type="even" r:id="rId12"/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3C" w:rsidRDefault="00E26A3C">
      <w:r>
        <w:separator/>
      </w:r>
    </w:p>
  </w:endnote>
  <w:endnote w:type="continuationSeparator" w:id="0">
    <w:p w:rsidR="00E26A3C" w:rsidRDefault="00E26A3C">
      <w:r>
        <w:continuationSeparator/>
      </w:r>
    </w:p>
  </w:endnote>
  <w:endnote w:type="continuationNotice" w:id="1">
    <w:p w:rsidR="00E26A3C" w:rsidRDefault="00E26A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Default="00363A5F" w:rsidP="001068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A5F" w:rsidRDefault="00363A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Pr="00444AC1" w:rsidRDefault="00363A5F" w:rsidP="00444AC1">
    <w:pPr>
      <w:jc w:val="center"/>
    </w:pPr>
    <w:r w:rsidRPr="00444AC1">
      <w:t xml:space="preserve">© </w:t>
    </w:r>
    <w:r w:rsidRPr="00444AC1">
      <w:fldChar w:fldCharType="begin"/>
    </w:r>
    <w:r w:rsidRPr="00444AC1">
      <w:instrText xml:space="preserve"> DATE \@"yyyy" \* MERGEFORMAT </w:instrText>
    </w:r>
    <w:r w:rsidRPr="00444AC1">
      <w:fldChar w:fldCharType="separate"/>
    </w:r>
    <w:r w:rsidR="005F45C8">
      <w:rPr>
        <w:noProof/>
      </w:rPr>
      <w:t>2018</w:t>
    </w:r>
    <w:r w:rsidRPr="00444AC1">
      <w:fldChar w:fldCharType="end"/>
    </w:r>
    <w:r w:rsidRPr="00444AC1">
      <w:t>. Grand Canyon University. All Rights Reserved.</w:t>
    </w:r>
  </w:p>
  <w:p w:rsidR="00363A5F" w:rsidRPr="00444AC1" w:rsidRDefault="00363A5F" w:rsidP="00444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3C" w:rsidRDefault="00E26A3C">
      <w:r>
        <w:separator/>
      </w:r>
    </w:p>
  </w:footnote>
  <w:footnote w:type="continuationSeparator" w:id="0">
    <w:p w:rsidR="00E26A3C" w:rsidRDefault="00E26A3C">
      <w:r>
        <w:continuationSeparator/>
      </w:r>
    </w:p>
  </w:footnote>
  <w:footnote w:type="continuationNotice" w:id="1">
    <w:p w:rsidR="00E26A3C" w:rsidRDefault="00E26A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61A07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B0E2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0D3F2B"/>
    <w:multiLevelType w:val="multilevel"/>
    <w:tmpl w:val="6CA20C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371E9A"/>
    <w:multiLevelType w:val="hybridMultilevel"/>
    <w:tmpl w:val="543E53FC"/>
    <w:lvl w:ilvl="0" w:tplc="29FAA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575"/>
    <w:multiLevelType w:val="multilevel"/>
    <w:tmpl w:val="2DE4D2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08628F"/>
    <w:multiLevelType w:val="hybridMultilevel"/>
    <w:tmpl w:val="A328AAA4"/>
    <w:lvl w:ilvl="0" w:tplc="2820D5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4BD9"/>
    <w:multiLevelType w:val="multilevel"/>
    <w:tmpl w:val="F300DE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0E4D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89E740A"/>
    <w:multiLevelType w:val="hybridMultilevel"/>
    <w:tmpl w:val="5866C61C"/>
    <w:lvl w:ilvl="0" w:tplc="C1B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F22D99"/>
    <w:multiLevelType w:val="hybridMultilevel"/>
    <w:tmpl w:val="FD58A8FE"/>
    <w:lvl w:ilvl="0" w:tplc="087A8FA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4A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FEB1252"/>
    <w:multiLevelType w:val="hybridMultilevel"/>
    <w:tmpl w:val="56382C98"/>
    <w:lvl w:ilvl="0" w:tplc="577EF5A0">
      <w:start w:val="1"/>
      <w:numFmt w:val="bullet"/>
      <w:pStyle w:val="GrandCanyonBulletedLis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240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4A22947"/>
    <w:multiLevelType w:val="multilevel"/>
    <w:tmpl w:val="A4CEEE98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9184FB1"/>
    <w:multiLevelType w:val="hybridMultilevel"/>
    <w:tmpl w:val="F7E4A348"/>
    <w:lvl w:ilvl="0" w:tplc="2FB228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2"/>
  </w:num>
  <w:num w:numId="14">
    <w:abstractNumId w:val="13"/>
  </w:num>
  <w:num w:numId="15">
    <w:abstractNumId w:val="10"/>
  </w:num>
  <w:num w:numId="16">
    <w:abstractNumId w:val="5"/>
  </w:num>
  <w:num w:numId="17">
    <w:abstractNumId w:val="7"/>
  </w:num>
  <w:num w:numId="18">
    <w:abstractNumId w:val="1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1"/>
  </w:num>
  <w:num w:numId="30">
    <w:abstractNumId w:val="9"/>
  </w:num>
  <w:num w:numId="31">
    <w:abstractNumId w:val="8"/>
  </w:num>
  <w:num w:numId="32">
    <w:abstractNumId w:val="13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3C"/>
    <w:rsid w:val="000219F2"/>
    <w:rsid w:val="000233D4"/>
    <w:rsid w:val="00031CF8"/>
    <w:rsid w:val="00037CAB"/>
    <w:rsid w:val="00060F5C"/>
    <w:rsid w:val="00077797"/>
    <w:rsid w:val="00097BDA"/>
    <w:rsid w:val="000A0440"/>
    <w:rsid w:val="000A22DB"/>
    <w:rsid w:val="000A2DF2"/>
    <w:rsid w:val="000B1837"/>
    <w:rsid w:val="000B1856"/>
    <w:rsid w:val="000B35F0"/>
    <w:rsid w:val="000B3745"/>
    <w:rsid w:val="000C028C"/>
    <w:rsid w:val="000C6145"/>
    <w:rsid w:val="000C7C7F"/>
    <w:rsid w:val="000D0792"/>
    <w:rsid w:val="000E290C"/>
    <w:rsid w:val="001068CC"/>
    <w:rsid w:val="001105B5"/>
    <w:rsid w:val="00125398"/>
    <w:rsid w:val="00151B26"/>
    <w:rsid w:val="0016307E"/>
    <w:rsid w:val="00172847"/>
    <w:rsid w:val="00173660"/>
    <w:rsid w:val="0017677D"/>
    <w:rsid w:val="00193E02"/>
    <w:rsid w:val="0019565B"/>
    <w:rsid w:val="001B2FE6"/>
    <w:rsid w:val="001C210B"/>
    <w:rsid w:val="001D43DD"/>
    <w:rsid w:val="001D5FF6"/>
    <w:rsid w:val="001E2571"/>
    <w:rsid w:val="001F1213"/>
    <w:rsid w:val="00206FEE"/>
    <w:rsid w:val="00207A42"/>
    <w:rsid w:val="002231AD"/>
    <w:rsid w:val="002405B6"/>
    <w:rsid w:val="002513B5"/>
    <w:rsid w:val="0025572A"/>
    <w:rsid w:val="00256E2A"/>
    <w:rsid w:val="002607A8"/>
    <w:rsid w:val="00271579"/>
    <w:rsid w:val="00271FA7"/>
    <w:rsid w:val="00283DAB"/>
    <w:rsid w:val="00293B26"/>
    <w:rsid w:val="002B60CD"/>
    <w:rsid w:val="002C2E6E"/>
    <w:rsid w:val="002E5BA2"/>
    <w:rsid w:val="002F3B3E"/>
    <w:rsid w:val="0031440C"/>
    <w:rsid w:val="00324142"/>
    <w:rsid w:val="00342AD1"/>
    <w:rsid w:val="00344C2E"/>
    <w:rsid w:val="00346214"/>
    <w:rsid w:val="00363A5F"/>
    <w:rsid w:val="0036412E"/>
    <w:rsid w:val="00364554"/>
    <w:rsid w:val="0036499F"/>
    <w:rsid w:val="00365F04"/>
    <w:rsid w:val="003715FF"/>
    <w:rsid w:val="003A2EAA"/>
    <w:rsid w:val="003C1461"/>
    <w:rsid w:val="003C4C80"/>
    <w:rsid w:val="003C6DCD"/>
    <w:rsid w:val="003D6975"/>
    <w:rsid w:val="003E617F"/>
    <w:rsid w:val="003F4A08"/>
    <w:rsid w:val="003F679A"/>
    <w:rsid w:val="003F7984"/>
    <w:rsid w:val="00403898"/>
    <w:rsid w:val="004217EE"/>
    <w:rsid w:val="0043201C"/>
    <w:rsid w:val="00433D2A"/>
    <w:rsid w:val="004340B5"/>
    <w:rsid w:val="004402F9"/>
    <w:rsid w:val="004413E7"/>
    <w:rsid w:val="00441C26"/>
    <w:rsid w:val="0044225A"/>
    <w:rsid w:val="00444AC1"/>
    <w:rsid w:val="00450B6D"/>
    <w:rsid w:val="004630AA"/>
    <w:rsid w:val="004725A5"/>
    <w:rsid w:val="00472DA8"/>
    <w:rsid w:val="00477F64"/>
    <w:rsid w:val="00480973"/>
    <w:rsid w:val="00483F92"/>
    <w:rsid w:val="0048517D"/>
    <w:rsid w:val="004948CD"/>
    <w:rsid w:val="004A67D3"/>
    <w:rsid w:val="004B1819"/>
    <w:rsid w:val="004B6BB0"/>
    <w:rsid w:val="004C27AE"/>
    <w:rsid w:val="004D15CC"/>
    <w:rsid w:val="004D3161"/>
    <w:rsid w:val="004D6F05"/>
    <w:rsid w:val="004E0831"/>
    <w:rsid w:val="004F1CC9"/>
    <w:rsid w:val="004F64AA"/>
    <w:rsid w:val="00502F8A"/>
    <w:rsid w:val="00522E2F"/>
    <w:rsid w:val="00527643"/>
    <w:rsid w:val="005706B3"/>
    <w:rsid w:val="00570DDE"/>
    <w:rsid w:val="00577666"/>
    <w:rsid w:val="005A542B"/>
    <w:rsid w:val="005E78A2"/>
    <w:rsid w:val="005F1B77"/>
    <w:rsid w:val="005F24F2"/>
    <w:rsid w:val="005F45C8"/>
    <w:rsid w:val="00606B69"/>
    <w:rsid w:val="0061344C"/>
    <w:rsid w:val="00626F6D"/>
    <w:rsid w:val="00630B64"/>
    <w:rsid w:val="006422B9"/>
    <w:rsid w:val="00645D71"/>
    <w:rsid w:val="00650E6F"/>
    <w:rsid w:val="006542BF"/>
    <w:rsid w:val="00677680"/>
    <w:rsid w:val="006A690E"/>
    <w:rsid w:val="006B4361"/>
    <w:rsid w:val="006B7E7C"/>
    <w:rsid w:val="006E29EE"/>
    <w:rsid w:val="006F50CB"/>
    <w:rsid w:val="00703933"/>
    <w:rsid w:val="00717477"/>
    <w:rsid w:val="00742088"/>
    <w:rsid w:val="00746035"/>
    <w:rsid w:val="00751AAF"/>
    <w:rsid w:val="00770EB5"/>
    <w:rsid w:val="00772A1E"/>
    <w:rsid w:val="00777931"/>
    <w:rsid w:val="00790710"/>
    <w:rsid w:val="007A1A6C"/>
    <w:rsid w:val="007B6B40"/>
    <w:rsid w:val="007C3600"/>
    <w:rsid w:val="007E50DD"/>
    <w:rsid w:val="007E6ACA"/>
    <w:rsid w:val="007F6A0A"/>
    <w:rsid w:val="007F72A0"/>
    <w:rsid w:val="00803445"/>
    <w:rsid w:val="00810E40"/>
    <w:rsid w:val="00820EE1"/>
    <w:rsid w:val="00825349"/>
    <w:rsid w:val="008365A6"/>
    <w:rsid w:val="00851415"/>
    <w:rsid w:val="0086228C"/>
    <w:rsid w:val="008762BF"/>
    <w:rsid w:val="00886C38"/>
    <w:rsid w:val="008A5C80"/>
    <w:rsid w:val="008A6F1B"/>
    <w:rsid w:val="008B0606"/>
    <w:rsid w:val="008C01D8"/>
    <w:rsid w:val="008C0784"/>
    <w:rsid w:val="008D5017"/>
    <w:rsid w:val="008F5297"/>
    <w:rsid w:val="009061BA"/>
    <w:rsid w:val="00952B5D"/>
    <w:rsid w:val="00954FE9"/>
    <w:rsid w:val="009677EE"/>
    <w:rsid w:val="00972E10"/>
    <w:rsid w:val="0097572F"/>
    <w:rsid w:val="00993C3F"/>
    <w:rsid w:val="009941F3"/>
    <w:rsid w:val="009A0BAA"/>
    <w:rsid w:val="009A733D"/>
    <w:rsid w:val="009B3F88"/>
    <w:rsid w:val="009B61A4"/>
    <w:rsid w:val="009B6AA3"/>
    <w:rsid w:val="009C458E"/>
    <w:rsid w:val="009C5F35"/>
    <w:rsid w:val="009D355C"/>
    <w:rsid w:val="009D5ACD"/>
    <w:rsid w:val="009E0321"/>
    <w:rsid w:val="00A0622B"/>
    <w:rsid w:val="00A11D35"/>
    <w:rsid w:val="00A12068"/>
    <w:rsid w:val="00A15A0B"/>
    <w:rsid w:val="00A16B75"/>
    <w:rsid w:val="00A307F9"/>
    <w:rsid w:val="00A3720A"/>
    <w:rsid w:val="00A410B4"/>
    <w:rsid w:val="00A568F4"/>
    <w:rsid w:val="00A6120B"/>
    <w:rsid w:val="00A75A92"/>
    <w:rsid w:val="00A84E09"/>
    <w:rsid w:val="00A9192D"/>
    <w:rsid w:val="00A95284"/>
    <w:rsid w:val="00AB28F2"/>
    <w:rsid w:val="00AB3AC9"/>
    <w:rsid w:val="00AD5AC8"/>
    <w:rsid w:val="00AD7E89"/>
    <w:rsid w:val="00AE4978"/>
    <w:rsid w:val="00B13503"/>
    <w:rsid w:val="00B25E57"/>
    <w:rsid w:val="00B414C8"/>
    <w:rsid w:val="00B414EE"/>
    <w:rsid w:val="00B558A4"/>
    <w:rsid w:val="00B81521"/>
    <w:rsid w:val="00BB289F"/>
    <w:rsid w:val="00BC03A4"/>
    <w:rsid w:val="00BC0B8F"/>
    <w:rsid w:val="00BD1F95"/>
    <w:rsid w:val="00BD43C6"/>
    <w:rsid w:val="00BE0F8D"/>
    <w:rsid w:val="00BE1D3D"/>
    <w:rsid w:val="00BE71D0"/>
    <w:rsid w:val="00BF13A1"/>
    <w:rsid w:val="00BF3821"/>
    <w:rsid w:val="00C1423D"/>
    <w:rsid w:val="00C20080"/>
    <w:rsid w:val="00C46EC5"/>
    <w:rsid w:val="00C50FCD"/>
    <w:rsid w:val="00C61418"/>
    <w:rsid w:val="00C934D1"/>
    <w:rsid w:val="00CB24B2"/>
    <w:rsid w:val="00CB4C91"/>
    <w:rsid w:val="00CC0B48"/>
    <w:rsid w:val="00CD47C4"/>
    <w:rsid w:val="00CF2614"/>
    <w:rsid w:val="00CF2B8E"/>
    <w:rsid w:val="00D018E6"/>
    <w:rsid w:val="00D10F56"/>
    <w:rsid w:val="00D11AE9"/>
    <w:rsid w:val="00D14CF1"/>
    <w:rsid w:val="00D23688"/>
    <w:rsid w:val="00D30E8D"/>
    <w:rsid w:val="00D35754"/>
    <w:rsid w:val="00D518F9"/>
    <w:rsid w:val="00D557EB"/>
    <w:rsid w:val="00D5675C"/>
    <w:rsid w:val="00D62D44"/>
    <w:rsid w:val="00D647BC"/>
    <w:rsid w:val="00D82095"/>
    <w:rsid w:val="00D86F8B"/>
    <w:rsid w:val="00D91160"/>
    <w:rsid w:val="00D96F02"/>
    <w:rsid w:val="00DA3867"/>
    <w:rsid w:val="00DB1DD7"/>
    <w:rsid w:val="00DC6C4B"/>
    <w:rsid w:val="00DD10FA"/>
    <w:rsid w:val="00DD37DD"/>
    <w:rsid w:val="00DE1005"/>
    <w:rsid w:val="00DE1569"/>
    <w:rsid w:val="00DF225E"/>
    <w:rsid w:val="00E26A3C"/>
    <w:rsid w:val="00E5605C"/>
    <w:rsid w:val="00E56072"/>
    <w:rsid w:val="00E6049E"/>
    <w:rsid w:val="00E65833"/>
    <w:rsid w:val="00E66501"/>
    <w:rsid w:val="00E835E7"/>
    <w:rsid w:val="00E912DE"/>
    <w:rsid w:val="00EC4570"/>
    <w:rsid w:val="00F10AE0"/>
    <w:rsid w:val="00F11045"/>
    <w:rsid w:val="00F11241"/>
    <w:rsid w:val="00F24A40"/>
    <w:rsid w:val="00F40662"/>
    <w:rsid w:val="00F41F6B"/>
    <w:rsid w:val="00F516E4"/>
    <w:rsid w:val="00F6160E"/>
    <w:rsid w:val="00F66213"/>
    <w:rsid w:val="00F73619"/>
    <w:rsid w:val="00F8232C"/>
    <w:rsid w:val="00F95C2C"/>
    <w:rsid w:val="00FA0435"/>
    <w:rsid w:val="00FA4F3C"/>
    <w:rsid w:val="00FB548C"/>
    <w:rsid w:val="00FD614D"/>
    <w:rsid w:val="00FE112E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36076-CC24-4EDF-9C2F-B4DE49F7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C8"/>
    <w:pPr>
      <w:spacing w:after="160" w:line="259" w:lineRule="auto"/>
    </w:pPr>
    <w:rPr>
      <w:rFonts w:ascii="Consolas" w:eastAsiaTheme="minorHAnsi" w:hAnsi="Consolas" w:cstheme="minorBidi"/>
      <w:szCs w:val="22"/>
    </w:rPr>
  </w:style>
  <w:style w:type="paragraph" w:styleId="Heading1">
    <w:name w:val="heading 1"/>
    <w:basedOn w:val="Normal"/>
    <w:next w:val="Normal"/>
    <w:qFormat/>
    <w:rsid w:val="005F45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F45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F45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5F45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F45C8"/>
  </w:style>
  <w:style w:type="paragraph" w:styleId="Footer">
    <w:name w:val="footer"/>
    <w:basedOn w:val="Normal"/>
    <w:semiHidden/>
    <w:rsid w:val="005F45C8"/>
    <w:pPr>
      <w:tabs>
        <w:tab w:val="center" w:pos="4320"/>
        <w:tab w:val="right" w:pos="8640"/>
      </w:tabs>
    </w:pPr>
  </w:style>
  <w:style w:type="paragraph" w:customStyle="1" w:styleId="GrandCanyonBulletedList">
    <w:name w:val="Grand Canyon Bulleted List"/>
    <w:basedOn w:val="Normal"/>
    <w:rsid w:val="005F45C8"/>
    <w:pPr>
      <w:numPr>
        <w:numId w:val="29"/>
      </w:numPr>
      <w:tabs>
        <w:tab w:val="clear" w:pos="432"/>
        <w:tab w:val="num" w:pos="360"/>
      </w:tabs>
      <w:ind w:left="360" w:hanging="360"/>
    </w:pPr>
  </w:style>
  <w:style w:type="paragraph" w:customStyle="1" w:styleId="GrandCanyonDocumentTitle">
    <w:name w:val="Grand Canyon Document Title"/>
    <w:basedOn w:val="Heading1"/>
    <w:rsid w:val="005F45C8"/>
    <w:pPr>
      <w:pBdr>
        <w:bottom w:val="single" w:sz="4" w:space="1" w:color="auto"/>
      </w:pBdr>
      <w:spacing w:after="120"/>
      <w:jc w:val="center"/>
    </w:pPr>
    <w:rPr>
      <w:rFonts w:ascii="Bookman Old Style" w:hAnsi="Bookman Old Style"/>
      <w:b w:val="0"/>
      <w:sz w:val="40"/>
    </w:rPr>
  </w:style>
  <w:style w:type="paragraph" w:customStyle="1" w:styleId="GrandCanyonModuleHeading">
    <w:name w:val="Grand Canyon Module Heading"/>
    <w:basedOn w:val="Heading2"/>
    <w:rsid w:val="005F45C8"/>
    <w:rPr>
      <w:rFonts w:ascii="Bookman Old Style" w:hAnsi="Bookman Old Style"/>
      <w:b w:val="0"/>
      <w:i w:val="0"/>
      <w:sz w:val="32"/>
    </w:rPr>
  </w:style>
  <w:style w:type="paragraph" w:customStyle="1" w:styleId="GrandCanyonNumberedList">
    <w:name w:val="Grand Canyon Numbered List"/>
    <w:basedOn w:val="Normal"/>
    <w:rsid w:val="005F45C8"/>
    <w:pPr>
      <w:numPr>
        <w:numId w:val="14"/>
      </w:numPr>
    </w:pPr>
  </w:style>
  <w:style w:type="paragraph" w:styleId="ListNumber">
    <w:name w:val="List Number"/>
    <w:basedOn w:val="Normal"/>
    <w:semiHidden/>
    <w:rsid w:val="005F45C8"/>
    <w:pPr>
      <w:numPr>
        <w:numId w:val="2"/>
      </w:numPr>
    </w:pPr>
  </w:style>
  <w:style w:type="paragraph" w:styleId="Header">
    <w:name w:val="header"/>
    <w:basedOn w:val="Normal"/>
    <w:semiHidden/>
    <w:rsid w:val="005F45C8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5F45C8"/>
    <w:pPr>
      <w:numPr>
        <w:numId w:val="4"/>
      </w:numPr>
    </w:pPr>
  </w:style>
  <w:style w:type="character" w:styleId="PageNumber">
    <w:name w:val="page number"/>
    <w:basedOn w:val="DefaultParagraphFont"/>
    <w:semiHidden/>
    <w:rsid w:val="005F45C8"/>
  </w:style>
  <w:style w:type="paragraph" w:customStyle="1" w:styleId="GrandCanyonBodyText">
    <w:name w:val="Grand Canyon Body Text"/>
    <w:basedOn w:val="Normal"/>
    <w:link w:val="GrandCanyonBodyTextChar"/>
    <w:rsid w:val="005F45C8"/>
    <w:pPr>
      <w:widowControl w:val="0"/>
      <w:tabs>
        <w:tab w:val="left" w:pos="360"/>
      </w:tabs>
      <w:spacing w:after="240"/>
      <w:ind w:firstLine="720"/>
    </w:pPr>
    <w:rPr>
      <w:rFonts w:cs="Lucida Sans Unicode"/>
      <w:bCs/>
      <w:kern w:val="32"/>
      <w:szCs w:val="40"/>
    </w:rPr>
  </w:style>
  <w:style w:type="paragraph" w:customStyle="1" w:styleId="GrandCanyonBlockQuote">
    <w:name w:val="Grand Canyon Block Quote"/>
    <w:basedOn w:val="GrandCanyonBodyText"/>
    <w:autoRedefine/>
    <w:rsid w:val="005F45C8"/>
    <w:pPr>
      <w:spacing w:after="0"/>
      <w:ind w:left="720" w:firstLine="0"/>
    </w:pPr>
  </w:style>
  <w:style w:type="paragraph" w:customStyle="1" w:styleId="GrandCanyonSubtopicHeading">
    <w:name w:val="Grand Canyon Subtopic Heading"/>
    <w:basedOn w:val="Normal"/>
    <w:next w:val="GrandCanyonBodyText"/>
    <w:rsid w:val="005F45C8"/>
    <w:pPr>
      <w:spacing w:before="240"/>
    </w:pPr>
    <w:rPr>
      <w:rFonts w:ascii="Bookman Old Style" w:hAnsi="Bookman Old Style"/>
      <w:sz w:val="26"/>
      <w:szCs w:val="26"/>
    </w:rPr>
  </w:style>
  <w:style w:type="paragraph" w:customStyle="1" w:styleId="GrandCanyonTopicHeading">
    <w:name w:val="Grand Canyon Topic Heading"/>
    <w:basedOn w:val="Heading3"/>
    <w:next w:val="Normal"/>
    <w:rsid w:val="005F45C8"/>
    <w:pPr>
      <w:widowControl w:val="0"/>
    </w:pPr>
    <w:rPr>
      <w:rFonts w:ascii="Bookman Old Style" w:hAnsi="Bookman Old Style"/>
      <w:b w:val="0"/>
      <w:sz w:val="32"/>
      <w:szCs w:val="32"/>
    </w:rPr>
  </w:style>
  <w:style w:type="paragraph" w:customStyle="1" w:styleId="GrandCanyonReference">
    <w:name w:val="Grand Canyon Reference"/>
    <w:basedOn w:val="GrandCanyonBodyText"/>
    <w:autoRedefine/>
    <w:rsid w:val="005F45C8"/>
    <w:pPr>
      <w:ind w:left="360" w:hanging="360"/>
    </w:pPr>
  </w:style>
  <w:style w:type="character" w:customStyle="1" w:styleId="GrandCanyonBodyTextChar">
    <w:name w:val="Grand Canyon Body Text Char"/>
    <w:link w:val="GrandCanyonBodyText"/>
    <w:rsid w:val="005F45C8"/>
    <w:rPr>
      <w:rFonts w:ascii="Consolas" w:eastAsiaTheme="minorHAnsi" w:hAnsi="Consolas" w:cs="Lucida Sans Unicode"/>
      <w:bCs/>
      <w:kern w:val="32"/>
      <w:szCs w:val="40"/>
    </w:rPr>
  </w:style>
  <w:style w:type="table" w:styleId="TableGrid">
    <w:name w:val="Table Grid"/>
    <w:basedOn w:val="TableNormal"/>
    <w:rsid w:val="005F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5F45C8"/>
    <w:rPr>
      <w:sz w:val="16"/>
      <w:szCs w:val="16"/>
    </w:rPr>
  </w:style>
  <w:style w:type="paragraph" w:styleId="CommentText">
    <w:name w:val="annotation text"/>
    <w:basedOn w:val="Normal"/>
    <w:semiHidden/>
    <w:rsid w:val="005F45C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F45C8"/>
    <w:rPr>
      <w:b/>
      <w:bCs/>
    </w:rPr>
  </w:style>
  <w:style w:type="paragraph" w:styleId="BalloonText">
    <w:name w:val="Balloon Text"/>
    <w:basedOn w:val="Normal"/>
    <w:semiHidden/>
    <w:rsid w:val="005F4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a.Fritz\AppData\Roaming\Microsoft\Templates\Rubri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C09E5-3BB8-4F7D-A5F1-ECCA221AD53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E52895E-BC15-4576-AFF9-64D9B2C48A82}">
  <ds:schemaRefs>
    <ds:schemaRef ds:uri="http://schemas.microsoft.com/office/2006/documentManagement/types"/>
    <ds:schemaRef ds:uri="http://schemas.microsoft.com/office/infopath/2007/PartnerControls"/>
    <ds:schemaRef ds:uri="30a82cfc-8d0b-455e-b705-4035c60ff9fd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E6A5676-029A-43D9-B7DC-3F0F3509CDDF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20F1502-ABAB-472F-8AEA-26E946C8A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9D1D0F-2965-4322-BC1F-A5E8CDAB8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Rubric_template.dotx</Template>
  <TotalTime>6</TotalTime>
  <Pages>2</Pages>
  <Words>453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cp:lastModifiedBy>Lydia Fritz</cp:lastModifiedBy>
  <cp:revision>4</cp:revision>
  <cp:lastPrinted>2009-10-22T17:01:00Z</cp:lastPrinted>
  <dcterms:created xsi:type="dcterms:W3CDTF">2018-06-15T17:25:00Z</dcterms:created>
  <dcterms:modified xsi:type="dcterms:W3CDTF">2018-06-15T17:36:00Z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