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1A26E" w14:textId="525FAD3C" w:rsidR="00BC7659" w:rsidRDefault="00BC7659" w:rsidP="00BC7659">
      <w:pPr>
        <w:pStyle w:val="Ttulo"/>
      </w:pPr>
      <w:r w:rsidRPr="00BC7659">
        <w:t>Plant Management</w:t>
      </w:r>
    </w:p>
    <w:p w14:paraId="35E14480" w14:textId="273D91C4" w:rsidR="00235750" w:rsidRPr="00235750" w:rsidRDefault="00235750" w:rsidP="00235750">
      <w:pPr>
        <w:pStyle w:val="Subttulo"/>
      </w:pPr>
      <w:r>
        <w:t>Projects and Data Description</w:t>
      </w:r>
    </w:p>
    <w:p w14:paraId="5B0DB548" w14:textId="5FC2B89A" w:rsidR="00BC7659" w:rsidRPr="00FB1AC1" w:rsidRDefault="00235750">
      <w:pPr>
        <w:rPr>
          <w:rStyle w:val="Referenciaintensa"/>
        </w:rPr>
      </w:pPr>
      <w:r w:rsidRPr="00FB1AC1">
        <w:rPr>
          <w:rStyle w:val="Referenciaintensa"/>
        </w:rPr>
        <w:t xml:space="preserve">Date. </w:t>
      </w:r>
      <w:r w:rsidR="00755E8E">
        <w:rPr>
          <w:rStyle w:val="Referenciaintensa"/>
        </w:rPr>
        <w:t>30</w:t>
      </w:r>
      <w:r w:rsidRPr="00FB1AC1">
        <w:rPr>
          <w:rStyle w:val="Referenciaintensa"/>
        </w:rPr>
        <w:t xml:space="preserve"> January 2025</w:t>
      </w:r>
    </w:p>
    <w:p w14:paraId="2AEC82F8" w14:textId="24F47B5C" w:rsidR="00235750" w:rsidRPr="00755E8E" w:rsidRDefault="00755E8E">
      <w:pPr>
        <w:rPr>
          <w:b/>
          <w:bCs/>
          <w:smallCaps/>
          <w:color w:val="0F4761" w:themeColor="accent1" w:themeShade="BF"/>
          <w:spacing w:val="5"/>
        </w:rPr>
      </w:pPr>
      <w:r>
        <w:rPr>
          <w:rStyle w:val="Referenciaintensa"/>
        </w:rPr>
        <w:t>Point of Contact</w:t>
      </w:r>
      <w:r w:rsidR="00235750" w:rsidRPr="00FB1AC1">
        <w:rPr>
          <w:rStyle w:val="Referenciaintensa"/>
        </w:rPr>
        <w:t>. Ivan Martino, Artificial Intelligence Lead</w:t>
      </w:r>
    </w:p>
    <w:p w14:paraId="50BC325B" w14:textId="641883A5" w:rsidR="00BC7659" w:rsidRPr="000C7ACB" w:rsidRDefault="00BC7659" w:rsidP="00767C91">
      <w:pPr>
        <w:pStyle w:val="Ttulo1"/>
        <w:rPr>
          <w:b/>
          <w:bCs/>
        </w:rPr>
      </w:pPr>
      <w:r w:rsidRPr="000C7ACB">
        <w:rPr>
          <w:b/>
          <w:bCs/>
        </w:rPr>
        <w:t xml:space="preserve">Project 1 – </w:t>
      </w:r>
      <w:r w:rsidR="00451896">
        <w:rPr>
          <w:b/>
          <w:bCs/>
        </w:rPr>
        <w:t xml:space="preserve">SPOT </w:t>
      </w:r>
      <w:r w:rsidRPr="000C7ACB">
        <w:rPr>
          <w:b/>
          <w:bCs/>
        </w:rPr>
        <w:t xml:space="preserve">Price </w:t>
      </w:r>
      <w:r w:rsidR="00451896">
        <w:rPr>
          <w:b/>
          <w:bCs/>
        </w:rPr>
        <w:t>P</w:t>
      </w:r>
      <w:r w:rsidRPr="000C7ACB">
        <w:rPr>
          <w:b/>
          <w:bCs/>
        </w:rPr>
        <w:t>rediction</w:t>
      </w:r>
    </w:p>
    <w:p w14:paraId="3EFE752E" w14:textId="49B3B88B" w:rsidR="00BC7659" w:rsidRDefault="00BC7659">
      <w:r>
        <w:t xml:space="preserve">Provided historical data on grid, hedged and own energy costs, provide 7-day-forecast for grid energy prices. In other words, given the energy cost up to </w:t>
      </w:r>
      <w:r w:rsidRPr="002229A5">
        <w:t>Fridays at noon,</w:t>
      </w:r>
      <w:r>
        <w:t xml:space="preserve"> provide the future costs of energy in the upcoming Monday, Tuesday, …, Sunday. </w:t>
      </w:r>
    </w:p>
    <w:p w14:paraId="0576E2A0" w14:textId="77777777" w:rsidR="001465EF" w:rsidRDefault="001465EF" w:rsidP="001465EF">
      <w:pPr>
        <w:pStyle w:val="Ttulo2"/>
      </w:pPr>
      <w:r>
        <w:t>Extensive explanation.</w:t>
      </w:r>
    </w:p>
    <w:p w14:paraId="3CE0C1AF" w14:textId="1ACCD936" w:rsidR="001465EF" w:rsidRDefault="001465EF" w:rsidP="001465EF">
      <w:r>
        <w:t xml:space="preserve">Due to factory </w:t>
      </w:r>
      <w:proofErr w:type="gramStart"/>
      <w:r>
        <w:t>constrains</w:t>
      </w:r>
      <w:proofErr w:type="gramEnd"/>
      <w:r>
        <w:t xml:space="preserve"> the price prediction must be smarter and flexible. Indeed, despite having large fluctuations of cost, the factory production cannot be shut down completely even if this would be the theoretical best scenario and, vice versa, there are production capping due to actual factory limitations, working hours,</w:t>
      </w:r>
      <w:r w:rsidR="00467181">
        <w:t xml:space="preserve"> labor constraints.</w:t>
      </w:r>
    </w:p>
    <w:p w14:paraId="15731AD6" w14:textId="77777777" w:rsidR="001465EF" w:rsidRDefault="001465EF" w:rsidP="001465EF">
      <w:r>
        <w:t xml:space="preserve">For this reason, </w:t>
      </w:r>
      <w:r w:rsidRPr="00587992">
        <w:rPr>
          <w:b/>
          <w:bCs/>
        </w:rPr>
        <w:t>one possible approach would be to first preprocess the data weekly in terms of relatively</w:t>
      </w:r>
      <w:r w:rsidRPr="00587992">
        <w:rPr>
          <w:rStyle w:val="Refdenotaalpie"/>
          <w:b/>
          <w:bCs/>
        </w:rPr>
        <w:footnoteReference w:id="1"/>
      </w:r>
      <w:r w:rsidRPr="00587992">
        <w:rPr>
          <w:b/>
          <w:bCs/>
        </w:rPr>
        <w:t xml:space="preserve"> low price, relatively mid-price and relatively high price. </w:t>
      </w:r>
      <w:r>
        <w:t xml:space="preserve">Here relatively means ´with respect to the cost of energy in that specific week´. We might get insights like ´Saturday mornings we have low energy prices´. </w:t>
      </w:r>
    </w:p>
    <w:p w14:paraId="7BD9496C" w14:textId="42B0FE9C" w:rsidR="001465EF" w:rsidRDefault="001465EF" w:rsidP="001465EF">
      <w:r>
        <w:t xml:space="preserve">The </w:t>
      </w:r>
      <w:r w:rsidR="0063582B">
        <w:t>harder task</w:t>
      </w:r>
      <w:r>
        <w:t xml:space="preserve"> is mostly understanding the right granularity (</w:t>
      </w:r>
      <w:r w:rsidR="0082013B">
        <w:t xml:space="preserve">Business suggest </w:t>
      </w:r>
      <w:r>
        <w:t xml:space="preserve">at least 4h), moving from hourly prediction to prediction </w:t>
      </w:r>
      <w:r w:rsidR="0082013B">
        <w:t xml:space="preserve">at </w:t>
      </w:r>
      <w:r>
        <w:t xml:space="preserve">different granularity. Larger slots, easier and more </w:t>
      </w:r>
      <w:proofErr w:type="gramStart"/>
      <w:r>
        <w:t>accurate the prediction</w:t>
      </w:r>
      <w:proofErr w:type="gramEnd"/>
      <w:r>
        <w:t xml:space="preserve"> would be, but of course also less</w:t>
      </w:r>
      <w:r w:rsidR="00D85DC8">
        <w:t xml:space="preserve"> applicable for business purposes</w:t>
      </w:r>
      <w:r>
        <w:t>, and vice versa.</w:t>
      </w:r>
    </w:p>
    <w:p w14:paraId="49B8F2F3" w14:textId="38A0793C" w:rsidR="00BC7659" w:rsidRDefault="001465EF">
      <w:pPr>
        <w:rPr>
          <w:b/>
          <w:bCs/>
        </w:rPr>
      </w:pPr>
      <w:r>
        <w:t xml:space="preserve">Under this </w:t>
      </w:r>
      <w:proofErr w:type="gramStart"/>
      <w:r>
        <w:t>constrain</w:t>
      </w:r>
      <w:proofErr w:type="gramEnd"/>
      <w:r>
        <w:t xml:space="preserve"> the candidate </w:t>
      </w:r>
      <w:r w:rsidR="0082013B" w:rsidRPr="00587992">
        <w:rPr>
          <w:b/>
          <w:bCs/>
        </w:rPr>
        <w:t>must</w:t>
      </w:r>
      <w:r w:rsidRPr="00587992">
        <w:rPr>
          <w:b/>
          <w:bCs/>
        </w:rPr>
        <w:t xml:space="preserve"> find the right balance between prediction’s accuracy and prediction’s granularity.</w:t>
      </w:r>
    </w:p>
    <w:p w14:paraId="779D694B" w14:textId="77777777" w:rsidR="004D5F53" w:rsidRDefault="00D85DC8">
      <w:r>
        <w:t xml:space="preserve">The solution must </w:t>
      </w:r>
      <w:r w:rsidR="004D5F53">
        <w:t>allow the business to change certain specific parameters in the forecast, such as:</w:t>
      </w:r>
    </w:p>
    <w:p w14:paraId="069D8E8F" w14:textId="77777777" w:rsidR="00C55E7B" w:rsidRDefault="00C55E7B" w:rsidP="004D5F53">
      <w:pPr>
        <w:pStyle w:val="Prrafodelista"/>
        <w:numPr>
          <w:ilvl w:val="0"/>
          <w:numId w:val="4"/>
        </w:numPr>
      </w:pPr>
      <w:r>
        <w:t xml:space="preserve">The day when the prediction is </w:t>
      </w:r>
      <w:proofErr w:type="gramStart"/>
      <w:r>
        <w:t>made,</w:t>
      </w:r>
      <w:proofErr w:type="gramEnd"/>
      <w:r>
        <w:t xml:space="preserve"> above is suggested Friday.</w:t>
      </w:r>
    </w:p>
    <w:p w14:paraId="7E8907DD" w14:textId="77777777" w:rsidR="001B09C1" w:rsidRDefault="00C55E7B" w:rsidP="004D5F53">
      <w:pPr>
        <w:pStyle w:val="Prrafodelista"/>
        <w:numPr>
          <w:ilvl w:val="0"/>
          <w:numId w:val="4"/>
        </w:numPr>
      </w:pPr>
      <w:r>
        <w:t>The number of day</w:t>
      </w:r>
      <w:r w:rsidR="001617F0">
        <w:t>s</w:t>
      </w:r>
      <w:r>
        <w:t xml:space="preserve"> </w:t>
      </w:r>
      <w:proofErr w:type="gramStart"/>
      <w:r>
        <w:t>predicted</w:t>
      </w:r>
      <w:r w:rsidR="001617F0">
        <w:t>,</w:t>
      </w:r>
      <w:proofErr w:type="gramEnd"/>
      <w:r w:rsidR="001617F0">
        <w:t xml:space="preserve"> above is suggested 7 days</w:t>
      </w:r>
      <w:r w:rsidR="007E7EC0">
        <w:t xml:space="preserve"> but business has already mentioned that in many plants 14 days forecast would be also</w:t>
      </w:r>
      <w:r w:rsidR="001B09C1">
        <w:t xml:space="preserve"> crucial.</w:t>
      </w:r>
    </w:p>
    <w:p w14:paraId="6399654B" w14:textId="16A914C5" w:rsidR="00D85DC8" w:rsidRDefault="00DE15F8" w:rsidP="004D5F53">
      <w:pPr>
        <w:pStyle w:val="Prrafodelista"/>
        <w:numPr>
          <w:ilvl w:val="0"/>
          <w:numId w:val="4"/>
        </w:numPr>
      </w:pPr>
      <w:r>
        <w:lastRenderedPageBreak/>
        <w:t>The project</w:t>
      </w:r>
      <w:r w:rsidR="005E15B1">
        <w:t xml:space="preserve"> description</w:t>
      </w:r>
      <w:r>
        <w:t xml:space="preserve"> suggest</w:t>
      </w:r>
      <w:r w:rsidR="005E15B1">
        <w:t>s</w:t>
      </w:r>
      <w:r>
        <w:t xml:space="preserve"> to </w:t>
      </w:r>
      <w:r w:rsidR="00B34561">
        <w:t xml:space="preserve">cluster historical price in three buckets: low, mid, high relative price with respect to </w:t>
      </w:r>
      <w:r w:rsidR="005E15B1">
        <w:t>hedge price. It could be nice to parametrize the number of buckets.</w:t>
      </w:r>
    </w:p>
    <w:p w14:paraId="08B4E053" w14:textId="3851CA1D" w:rsidR="00BC7659" w:rsidRDefault="00290AF0" w:rsidP="00E677B0">
      <w:pPr>
        <w:pStyle w:val="Prrafodelista"/>
        <w:numPr>
          <w:ilvl w:val="0"/>
          <w:numId w:val="4"/>
        </w:numPr>
      </w:pPr>
      <w:r>
        <w:t xml:space="preserve">As a first business requirement, we are asked to work with slots of at least 4 hours. </w:t>
      </w:r>
      <w:r w:rsidR="000B2A3C">
        <w:t xml:space="preserve">Business would </w:t>
      </w:r>
      <w:r w:rsidR="008F3CAA">
        <w:t>be</w:t>
      </w:r>
      <w:r w:rsidR="000B2A3C">
        <w:t xml:space="preserve"> happy to work with a range</w:t>
      </w:r>
      <w:r w:rsidR="00FD278C">
        <w:t>, with dynamic length.</w:t>
      </w:r>
      <w:r w:rsidR="000B2A3C">
        <w:t xml:space="preserve"> </w:t>
      </w:r>
      <w:r w:rsidR="008F3CAA">
        <w:t>For instance,</w:t>
      </w:r>
      <w:r w:rsidR="000B2A3C">
        <w:t xml:space="preserve"> </w:t>
      </w:r>
      <w:r w:rsidR="008F3CAA">
        <w:t>h</w:t>
      </w:r>
      <w:r w:rsidR="000B2A3C">
        <w:t xml:space="preserve">aving slots </w:t>
      </w:r>
      <w:r w:rsidR="008F3CAA">
        <w:t>of length between 2h and 6h.</w:t>
      </w:r>
    </w:p>
    <w:p w14:paraId="4B651594" w14:textId="7A00F43A" w:rsidR="00767C91" w:rsidRPr="000C7ACB" w:rsidRDefault="00767C91" w:rsidP="00767C91">
      <w:pPr>
        <w:pStyle w:val="Ttulo1"/>
        <w:rPr>
          <w:b/>
          <w:bCs/>
        </w:rPr>
      </w:pPr>
      <w:r w:rsidRPr="000C7ACB">
        <w:rPr>
          <w:b/>
          <w:bCs/>
        </w:rPr>
        <w:t>Project 2 – Load Allocation</w:t>
      </w:r>
    </w:p>
    <w:p w14:paraId="2C199813" w14:textId="7262F674" w:rsidR="008A47B6" w:rsidRDefault="00E805CA" w:rsidP="00767C91">
      <w:r>
        <w:t xml:space="preserve">Given </w:t>
      </w:r>
      <w:r w:rsidR="007105AD">
        <w:t xml:space="preserve">next </w:t>
      </w:r>
      <w:proofErr w:type="gramStart"/>
      <w:r>
        <w:t>week</w:t>
      </w:r>
      <w:proofErr w:type="gramEnd"/>
      <w:r>
        <w:t xml:space="preserve"> </w:t>
      </w:r>
      <w:r w:rsidR="003C0EDC" w:rsidRPr="003C0EDC">
        <w:t xml:space="preserve">Plant </w:t>
      </w:r>
      <w:r w:rsidR="003C0EDC">
        <w:t>T</w:t>
      </w:r>
      <w:r w:rsidR="003C0EDC" w:rsidRPr="003C0EDC">
        <w:t xml:space="preserve">otal Energy </w:t>
      </w:r>
      <w:r w:rsidR="00B62287" w:rsidRPr="003C0EDC">
        <w:t>Consumption</w:t>
      </w:r>
      <w:r w:rsidR="00B62287">
        <w:t xml:space="preserve"> (</w:t>
      </w:r>
      <w:r w:rsidR="002D20FC">
        <w:t>TPL)</w:t>
      </w:r>
      <w:r w:rsidR="003C0EDC">
        <w:t xml:space="preserve"> and </w:t>
      </w:r>
      <w:r w:rsidR="007105AD">
        <w:t xml:space="preserve">assuming we know the exact </w:t>
      </w:r>
      <w:r w:rsidR="002D20FC">
        <w:t xml:space="preserve">hourly </w:t>
      </w:r>
      <w:r w:rsidR="007105AD">
        <w:t xml:space="preserve">next </w:t>
      </w:r>
      <w:r w:rsidR="00FB498B">
        <w:t>week</w:t>
      </w:r>
      <w:r w:rsidR="007105AD">
        <w:t xml:space="preserve"> </w:t>
      </w:r>
      <w:r w:rsidR="00FB498B">
        <w:t>energy price</w:t>
      </w:r>
      <w:r w:rsidR="007105AD">
        <w:t xml:space="preserve">, provide the best allocation for the </w:t>
      </w:r>
      <w:r w:rsidR="002D20FC">
        <w:t>T</w:t>
      </w:r>
      <w:r w:rsidR="007105AD">
        <w:t>PL</w:t>
      </w:r>
      <w:r w:rsidR="008A47B6">
        <w:t xml:space="preserve">, under the </w:t>
      </w:r>
      <w:r w:rsidR="00EF3888">
        <w:t>following constrains</w:t>
      </w:r>
      <w:r w:rsidR="008A47B6">
        <w:t>:</w:t>
      </w:r>
    </w:p>
    <w:p w14:paraId="3CBBD0F0" w14:textId="59D2C5EE" w:rsidR="008A47B6" w:rsidRDefault="008A47B6" w:rsidP="008A47B6">
      <w:pPr>
        <w:pStyle w:val="Prrafodelista"/>
        <w:numPr>
          <w:ilvl w:val="0"/>
          <w:numId w:val="1"/>
        </w:numPr>
      </w:pPr>
      <w:r>
        <w:t xml:space="preserve">The factory cannot be completely shut down, it </w:t>
      </w:r>
      <w:r w:rsidR="00A61F4D">
        <w:t>must</w:t>
      </w:r>
      <w:r>
        <w:t xml:space="preserve"> always run at least at the </w:t>
      </w:r>
      <w:r w:rsidR="00192101">
        <w:t>0.000</w:t>
      </w:r>
      <w:r w:rsidR="00161F5D">
        <w:t>1</w:t>
      </w:r>
      <w:r>
        <w:t xml:space="preserve"> of the total weekly </w:t>
      </w:r>
      <w:r w:rsidR="002D20FC">
        <w:t>T</w:t>
      </w:r>
      <w:r>
        <w:t>P</w:t>
      </w:r>
      <w:r w:rsidR="00315A70">
        <w:t>L</w:t>
      </w:r>
    </w:p>
    <w:p w14:paraId="25FC2206" w14:textId="6A2343F2" w:rsidR="00161F5D" w:rsidRDefault="00161F5D" w:rsidP="008A47B6">
      <w:pPr>
        <w:pStyle w:val="Prrafodelista"/>
        <w:numPr>
          <w:ilvl w:val="0"/>
          <w:numId w:val="1"/>
        </w:numPr>
      </w:pPr>
      <w:r>
        <w:t xml:space="preserve">The factory cannot overload </w:t>
      </w:r>
      <w:proofErr w:type="gramStart"/>
      <w:r>
        <w:t>the 5</w:t>
      </w:r>
      <w:proofErr w:type="gramEnd"/>
      <w:r>
        <w:t xml:space="preserve">% of the </w:t>
      </w:r>
      <w:r w:rsidR="002D20FC">
        <w:t>T</w:t>
      </w:r>
      <w:r w:rsidR="00A61F4D">
        <w:t>PL per hour</w:t>
      </w:r>
      <w:r w:rsidR="002D20FC">
        <w:t>.</w:t>
      </w:r>
    </w:p>
    <w:p w14:paraId="513AA03D" w14:textId="7854ACF5" w:rsidR="00C02831" w:rsidRDefault="00CE3EA2" w:rsidP="00767C91">
      <w:pPr>
        <w:pStyle w:val="Prrafodelista"/>
        <w:numPr>
          <w:ilvl w:val="0"/>
          <w:numId w:val="1"/>
        </w:numPr>
      </w:pPr>
      <w:r>
        <w:t>Change of factory load</w:t>
      </w:r>
      <w:r w:rsidR="00C02831">
        <w:t xml:space="preserve"> can be made only at :00 and :30</w:t>
      </w:r>
      <w:r>
        <w:t>.</w:t>
      </w:r>
    </w:p>
    <w:p w14:paraId="2A21B8D3" w14:textId="64A634B0" w:rsidR="00767C91" w:rsidRDefault="008A42AB" w:rsidP="00767C91">
      <w:pPr>
        <w:pStyle w:val="Prrafodelista"/>
        <w:numPr>
          <w:ilvl w:val="0"/>
          <w:numId w:val="1"/>
        </w:numPr>
      </w:pPr>
      <w:r>
        <w:t xml:space="preserve">Change of factory load can be only at least </w:t>
      </w:r>
      <w:r w:rsidR="00381984">
        <w:t>5</w:t>
      </w:r>
      <w:r>
        <w:t xml:space="preserve"> hours apart</w:t>
      </w:r>
      <w:r w:rsidR="000447C9">
        <w:t xml:space="preserve"> </w:t>
      </w:r>
      <w:r w:rsidR="000447C9" w:rsidRPr="001643B4">
        <w:t>(</w:t>
      </w:r>
      <w:r w:rsidR="001643B4">
        <w:t>possibly this could be parametrized</w:t>
      </w:r>
      <w:r w:rsidR="000447C9" w:rsidRPr="001643B4">
        <w:t>)</w:t>
      </w:r>
      <w:r>
        <w:t>.</w:t>
      </w:r>
      <w:r w:rsidR="00CE3EA2">
        <w:t xml:space="preserve"> </w:t>
      </w:r>
      <w:r>
        <w:t xml:space="preserve">In other words, </w:t>
      </w:r>
      <w:r w:rsidR="008A1964">
        <w:t>if a change of</w:t>
      </w:r>
      <w:r w:rsidR="00577982">
        <w:t xml:space="preserve"> </w:t>
      </w:r>
      <w:proofErr w:type="gramStart"/>
      <w:r w:rsidR="00577982">
        <w:t>the</w:t>
      </w:r>
      <w:r w:rsidR="008A1964">
        <w:t xml:space="preserve"> </w:t>
      </w:r>
      <w:r w:rsidR="00577982">
        <w:t>factory</w:t>
      </w:r>
      <w:proofErr w:type="gramEnd"/>
      <w:r w:rsidR="008A1964">
        <w:t xml:space="preserve"> load is made at 10 AM, the next possible change </w:t>
      </w:r>
      <w:r w:rsidR="00381984">
        <w:t>must</w:t>
      </w:r>
      <w:r w:rsidR="008A1964">
        <w:t xml:space="preserve"> wait until </w:t>
      </w:r>
      <w:r w:rsidR="00381984">
        <w:t>3</w:t>
      </w:r>
      <w:r w:rsidR="00C02831">
        <w:t xml:space="preserve"> PM; </w:t>
      </w:r>
      <w:r w:rsidR="008976C6">
        <w:t>of course,</w:t>
      </w:r>
      <w:r w:rsidR="00C02831">
        <w:t xml:space="preserve"> one can decide to keep the status and maybe adjust at </w:t>
      </w:r>
      <w:r w:rsidR="00381984">
        <w:t>4</w:t>
      </w:r>
      <w:r w:rsidR="00C02831">
        <w:t>:30 PM</w:t>
      </w:r>
      <w:r w:rsidR="00CE3EA2">
        <w:t>.</w:t>
      </w:r>
    </w:p>
    <w:p w14:paraId="771C311D" w14:textId="6405356A" w:rsidR="005E43C8" w:rsidRDefault="005E43C8" w:rsidP="00767C91">
      <w:pPr>
        <w:pStyle w:val="Prrafodelista"/>
        <w:numPr>
          <w:ilvl w:val="0"/>
          <w:numId w:val="1"/>
        </w:numPr>
      </w:pPr>
      <w:r>
        <w:t xml:space="preserve">When the SPOT </w:t>
      </w:r>
      <w:r w:rsidR="00442ED2">
        <w:t xml:space="preserve">price is higher than </w:t>
      </w:r>
      <w:r w:rsidR="00CA75FA">
        <w:t>150%</w:t>
      </w:r>
      <w:r w:rsidR="00D20BAF">
        <w:t xml:space="preserve"> of the </w:t>
      </w:r>
      <w:r w:rsidR="00BA7FEB">
        <w:t>HBB</w:t>
      </w:r>
      <w:r w:rsidR="00D20BAF">
        <w:t xml:space="preserve"> price</w:t>
      </w:r>
      <w:r w:rsidR="00BA7FEB">
        <w:t xml:space="preserve"> (HBP)</w:t>
      </w:r>
      <w:r w:rsidR="00D20BAF">
        <w:t xml:space="preserve">, please adjust the </w:t>
      </w:r>
      <w:r w:rsidR="00EA4770">
        <w:t>N</w:t>
      </w:r>
      <w:r w:rsidR="00D20BAF">
        <w:t xml:space="preserve">PL </w:t>
      </w:r>
      <w:r w:rsidR="00241429">
        <w:t>to</w:t>
      </w:r>
      <w:r w:rsidR="00A572F8">
        <w:t xml:space="preserve"> </w:t>
      </w:r>
      <w:r w:rsidR="00EA4770">
        <w:t xml:space="preserve">the </w:t>
      </w:r>
      <w:r w:rsidR="004E5092">
        <w:t>HBB volume.</w:t>
      </w:r>
    </w:p>
    <w:p w14:paraId="3B5F69B5" w14:textId="0688DAD7" w:rsidR="00870B3B" w:rsidRPr="00870B3B" w:rsidRDefault="00870B3B" w:rsidP="00870B3B">
      <w:pPr>
        <w:rPr>
          <w:highlight w:val="yellow"/>
        </w:rPr>
      </w:pPr>
    </w:p>
    <w:p w14:paraId="44C914AD" w14:textId="77777777" w:rsidR="00B778EA" w:rsidRDefault="00B778EA" w:rsidP="00B778EA">
      <w:pPr>
        <w:pStyle w:val="Ttulo2"/>
      </w:pPr>
      <w:r>
        <w:t>Extensive explanation.</w:t>
      </w:r>
    </w:p>
    <w:p w14:paraId="7B56A7DC" w14:textId="5B451F09" w:rsidR="008A42AB" w:rsidRDefault="00B778EA" w:rsidP="008A42AB">
      <w:r>
        <w:t>This is an optimization problem under complex combinatorial constrain</w:t>
      </w:r>
      <w:r w:rsidR="00912E56">
        <w:t>t</w:t>
      </w:r>
      <w:r w:rsidR="00A92D01">
        <w:t>s</w:t>
      </w:r>
      <w:r>
        <w:t xml:space="preserve">. There </w:t>
      </w:r>
      <w:r w:rsidR="0037220D">
        <w:t>are</w:t>
      </w:r>
      <w:r>
        <w:t xml:space="preserve"> </w:t>
      </w:r>
      <w:r w:rsidR="002C1523">
        <w:t xml:space="preserve">many </w:t>
      </w:r>
      <w:r>
        <w:t>possible creative solutions, from the most easy simplex method</w:t>
      </w:r>
      <w:r w:rsidR="00847249">
        <w:t xml:space="preserve"> </w:t>
      </w:r>
      <w:r>
        <w:t xml:space="preserve">to combinatorial optimization, from </w:t>
      </w:r>
      <w:proofErr w:type="spellStart"/>
      <w:proofErr w:type="gramStart"/>
      <w:r w:rsidRPr="00A13A10">
        <w:rPr>
          <w:b/>
          <w:bCs/>
        </w:rPr>
        <w:t>sklearn.optimizer</w:t>
      </w:r>
      <w:proofErr w:type="spellEnd"/>
      <w:proofErr w:type="gramEnd"/>
      <w:r w:rsidRPr="00A13A10">
        <w:rPr>
          <w:b/>
          <w:bCs/>
        </w:rPr>
        <w:t xml:space="preserve"> to advanced Genetic Optimization</w:t>
      </w:r>
      <w:r w:rsidRPr="00A13A10">
        <w:t xml:space="preserve">. </w:t>
      </w:r>
      <w:r>
        <w:t xml:space="preserve">All solutions are good </w:t>
      </w:r>
      <w:proofErr w:type="gramStart"/>
      <w:r>
        <w:t>as long as</w:t>
      </w:r>
      <w:proofErr w:type="gramEnd"/>
      <w:r>
        <w:t xml:space="preserve"> they are presented clearly. </w:t>
      </w:r>
      <w:r w:rsidR="00A13A10">
        <w:t>Moreover, a</w:t>
      </w:r>
      <w:r>
        <w:t xml:space="preserve"> solution should be provided as a csv with three columns: starting time, ending time, suggested load.</w:t>
      </w:r>
    </w:p>
    <w:p w14:paraId="7B17983E" w14:textId="77777777" w:rsidR="00254764" w:rsidRDefault="00254764"/>
    <w:p w14:paraId="27D079F2" w14:textId="55821864" w:rsidR="00254764" w:rsidRPr="00BC7659" w:rsidRDefault="00254764" w:rsidP="00254764">
      <w:pPr>
        <w:pStyle w:val="Ttulo1"/>
      </w:pPr>
      <w:r>
        <w:t>Data</w:t>
      </w:r>
    </w:p>
    <w:p w14:paraId="03E309C4" w14:textId="332E14CA" w:rsidR="00254764" w:rsidRDefault="00254764" w:rsidP="00254764">
      <w:r>
        <w:t xml:space="preserve">We share three CSV files containing the data </w:t>
      </w:r>
      <w:proofErr w:type="gramStart"/>
      <w:r>
        <w:t>of</w:t>
      </w:r>
      <w:proofErr w:type="gramEnd"/>
      <w:r>
        <w:t xml:space="preserve"> the production of three fake plants.</w:t>
      </w:r>
    </w:p>
    <w:p w14:paraId="47EC1E2F" w14:textId="5B3147C6" w:rsidR="007C40C8" w:rsidRDefault="007C40C8" w:rsidP="007C40C8">
      <w:pPr>
        <w:pStyle w:val="Ttulo2"/>
      </w:pPr>
      <w:r>
        <w:lastRenderedPageBreak/>
        <w:t>Data Description</w:t>
      </w:r>
    </w:p>
    <w:p w14:paraId="6E619CAE" w14:textId="56B21089" w:rsidR="00AC49EE" w:rsidRDefault="00AC49EE" w:rsidP="00DD2787">
      <w:r>
        <w:t xml:space="preserve">It follows the description of each </w:t>
      </w:r>
      <w:r w:rsidR="005208B5">
        <w:t>column</w:t>
      </w:r>
      <w:r w:rsidR="002235DB">
        <w:t xml:space="preserve"> in the CSV.</w:t>
      </w:r>
    </w:p>
    <w:p w14:paraId="55189092" w14:textId="428B2044" w:rsidR="00DD2787" w:rsidRPr="00D45084" w:rsidRDefault="00DD2787" w:rsidP="00DD2787">
      <w:pPr>
        <w:rPr>
          <w:b/>
          <w:bCs/>
        </w:rPr>
      </w:pPr>
      <w:r w:rsidRPr="00D45084">
        <w:rPr>
          <w:b/>
          <w:bCs/>
        </w:rPr>
        <w:t>Timestamp, [CET]:</w:t>
      </w:r>
    </w:p>
    <w:p w14:paraId="786A89DE" w14:textId="031F5DA8" w:rsidR="00DD2787" w:rsidRDefault="00DD2787" w:rsidP="00DD2787">
      <w:r>
        <w:tab/>
        <w:t>Date and time of the measurement.</w:t>
      </w:r>
    </w:p>
    <w:p w14:paraId="1803B407" w14:textId="2CF9D4C9" w:rsidR="00DD2787" w:rsidRPr="00AC49EE" w:rsidRDefault="00D45084" w:rsidP="00DD2787">
      <w:pPr>
        <w:rPr>
          <w:b/>
          <w:bCs/>
        </w:rPr>
      </w:pPr>
      <w:r w:rsidRPr="00AC49EE">
        <w:rPr>
          <w:b/>
          <w:bCs/>
        </w:rPr>
        <w:t>Plant Name:</w:t>
      </w:r>
    </w:p>
    <w:p w14:paraId="43828C6E" w14:textId="2C22463F" w:rsidR="00D45084" w:rsidRDefault="00D45084" w:rsidP="00DD2787">
      <w:r>
        <w:tab/>
        <w:t>Name of the plant</w:t>
      </w:r>
      <w:r w:rsidR="00AC49EE">
        <w:t>.</w:t>
      </w:r>
    </w:p>
    <w:p w14:paraId="1FEDF3C2" w14:textId="56A965B6" w:rsidR="00D45084" w:rsidRPr="00AC49EE" w:rsidRDefault="00D45084" w:rsidP="00DD2787">
      <w:pPr>
        <w:rPr>
          <w:b/>
          <w:bCs/>
        </w:rPr>
      </w:pPr>
      <w:r w:rsidRPr="00AC49EE">
        <w:rPr>
          <w:b/>
          <w:bCs/>
        </w:rPr>
        <w:t>Country:</w:t>
      </w:r>
    </w:p>
    <w:p w14:paraId="626BDE9F" w14:textId="39EDB295" w:rsidR="00D45084" w:rsidRDefault="00D45084" w:rsidP="00DD2787">
      <w:r>
        <w:tab/>
      </w:r>
      <w:r w:rsidR="00AC49EE">
        <w:t>Country where the plant is located.</w:t>
      </w:r>
    </w:p>
    <w:p w14:paraId="0D22CC5B" w14:textId="585C880C" w:rsidR="00AC49EE" w:rsidRPr="00587992" w:rsidRDefault="00AC49EE" w:rsidP="00DD2787">
      <w:pPr>
        <w:rPr>
          <w:b/>
          <w:bCs/>
        </w:rPr>
      </w:pPr>
      <w:r w:rsidRPr="00587992">
        <w:rPr>
          <w:b/>
          <w:bCs/>
        </w:rPr>
        <w:t>City:</w:t>
      </w:r>
    </w:p>
    <w:p w14:paraId="43FFD8E0" w14:textId="0CEAF0BD" w:rsidR="00AC49EE" w:rsidRPr="00587992" w:rsidRDefault="00AC49EE" w:rsidP="00DD2787">
      <w:r w:rsidRPr="00587992">
        <w:tab/>
        <w:t>City where the plant is located.</w:t>
      </w:r>
    </w:p>
    <w:p w14:paraId="0A0E977A" w14:textId="77777777" w:rsidR="00DD2787" w:rsidRPr="00D45084" w:rsidRDefault="00DD2787" w:rsidP="00DD2787">
      <w:pPr>
        <w:rPr>
          <w:b/>
          <w:bCs/>
        </w:rPr>
      </w:pPr>
      <w:r w:rsidRPr="00D45084">
        <w:rPr>
          <w:b/>
          <w:bCs/>
        </w:rPr>
        <w:t>Plant Load (PL), [MWh]:</w:t>
      </w:r>
      <w:r w:rsidRPr="00D45084">
        <w:rPr>
          <w:b/>
          <w:bCs/>
        </w:rPr>
        <w:tab/>
      </w:r>
    </w:p>
    <w:p w14:paraId="6B3B9AB2" w14:textId="62CC1FB6" w:rsidR="00DD2787" w:rsidRDefault="00DD2787" w:rsidP="00DD2787">
      <w:pPr>
        <w:ind w:left="720"/>
      </w:pPr>
      <w:r>
        <w:t>It is the hourly consumption of energy providing from the grid, and from renewable source (solar here).</w:t>
      </w:r>
    </w:p>
    <w:p w14:paraId="274C7896" w14:textId="77777777" w:rsidR="00DD2787" w:rsidRPr="00D45084" w:rsidRDefault="00DD2787" w:rsidP="00DD2787">
      <w:pPr>
        <w:rPr>
          <w:b/>
          <w:bCs/>
        </w:rPr>
      </w:pPr>
      <w:r w:rsidRPr="00D45084">
        <w:rPr>
          <w:b/>
          <w:bCs/>
        </w:rPr>
        <w:t>Generation behind the Meter (GBM), [MWh]:</w:t>
      </w:r>
      <w:r w:rsidRPr="00D45084">
        <w:rPr>
          <w:b/>
          <w:bCs/>
        </w:rPr>
        <w:tab/>
      </w:r>
    </w:p>
    <w:p w14:paraId="68AA9353" w14:textId="465ADFE7" w:rsidR="00DD2787" w:rsidRDefault="00DD2787" w:rsidP="00DD2787">
      <w:pPr>
        <w:ind w:firstLine="720"/>
      </w:pPr>
      <w:r>
        <w:t>It is the (own-produced) renewable energy consumption (planned).</w:t>
      </w:r>
    </w:p>
    <w:p w14:paraId="15A3A04C" w14:textId="77777777" w:rsidR="00DD2787" w:rsidRPr="00D45084" w:rsidRDefault="00DD2787" w:rsidP="00DD2787">
      <w:pPr>
        <w:rPr>
          <w:b/>
          <w:bCs/>
        </w:rPr>
      </w:pPr>
      <w:r w:rsidRPr="00D45084">
        <w:rPr>
          <w:b/>
          <w:bCs/>
        </w:rPr>
        <w:t>Net Plant Load (NPL), [MWh]:</w:t>
      </w:r>
      <w:r w:rsidRPr="00D45084">
        <w:rPr>
          <w:b/>
          <w:bCs/>
        </w:rPr>
        <w:tab/>
      </w:r>
    </w:p>
    <w:p w14:paraId="72E2D04F" w14:textId="1F51868D" w:rsidR="00DD2787" w:rsidRDefault="00DD2787" w:rsidP="00DD2787">
      <w:pPr>
        <w:ind w:firstLine="720"/>
      </w:pPr>
      <w:r>
        <w:t>It is the hourly energy consumption (data provided, from grid).</w:t>
      </w:r>
    </w:p>
    <w:p w14:paraId="7C733C8E" w14:textId="77777777" w:rsidR="00161535" w:rsidRPr="00D45084" w:rsidRDefault="00DD2787" w:rsidP="00DD2787">
      <w:pPr>
        <w:rPr>
          <w:b/>
          <w:bCs/>
        </w:rPr>
      </w:pPr>
      <w:r w:rsidRPr="00D45084">
        <w:rPr>
          <w:b/>
          <w:bCs/>
        </w:rPr>
        <w:t>Hedged Base Band (HBB)</w:t>
      </w:r>
      <w:r w:rsidR="00161535" w:rsidRPr="00D45084">
        <w:rPr>
          <w:b/>
          <w:bCs/>
        </w:rPr>
        <w:t xml:space="preserve">, </w:t>
      </w:r>
      <w:r w:rsidRPr="00D45084">
        <w:rPr>
          <w:b/>
          <w:bCs/>
        </w:rPr>
        <w:t>[MWh]</w:t>
      </w:r>
      <w:r w:rsidR="00161535" w:rsidRPr="00D45084">
        <w:rPr>
          <w:b/>
          <w:bCs/>
        </w:rPr>
        <w:t>:</w:t>
      </w:r>
      <w:r w:rsidRPr="00D45084">
        <w:rPr>
          <w:b/>
          <w:bCs/>
        </w:rPr>
        <w:tab/>
      </w:r>
    </w:p>
    <w:p w14:paraId="025E5BE4" w14:textId="46A67F6C" w:rsidR="00DD2787" w:rsidRPr="00577982" w:rsidRDefault="00DD2787" w:rsidP="00161535">
      <w:pPr>
        <w:ind w:left="720"/>
        <w:rPr>
          <w:b/>
          <w:bCs/>
          <w:u w:val="single"/>
        </w:rPr>
      </w:pPr>
      <w:r w:rsidRPr="00577982">
        <w:rPr>
          <w:b/>
          <w:bCs/>
          <w:u w:val="single"/>
        </w:rPr>
        <w:t>In practical terms, a Hedged Base Band would indicate the quantity of energy an organization has hedged against market price risks, ensuring a stable supply or cost for that specific amount of energy over a particular period. This is the static input (constant every hour within 1 month).</w:t>
      </w:r>
    </w:p>
    <w:p w14:paraId="62083070" w14:textId="26AA75EF" w:rsidR="00244668" w:rsidRPr="00D45084" w:rsidRDefault="00DD2787" w:rsidP="00DD2787">
      <w:pPr>
        <w:rPr>
          <w:b/>
          <w:bCs/>
        </w:rPr>
      </w:pPr>
      <w:r w:rsidRPr="00D45084">
        <w:rPr>
          <w:b/>
          <w:bCs/>
        </w:rPr>
        <w:t xml:space="preserve">Hedged Base Band </w:t>
      </w:r>
      <w:r w:rsidR="00955A41">
        <w:rPr>
          <w:b/>
          <w:bCs/>
        </w:rPr>
        <w:t>Cost</w:t>
      </w:r>
      <w:r w:rsidRPr="00D45084">
        <w:rPr>
          <w:b/>
          <w:bCs/>
        </w:rPr>
        <w:t xml:space="preserve"> (HB</w:t>
      </w:r>
      <w:r w:rsidR="00BA7FEB">
        <w:rPr>
          <w:b/>
          <w:bCs/>
        </w:rPr>
        <w:t>C</w:t>
      </w:r>
      <w:r w:rsidRPr="00D45084">
        <w:rPr>
          <w:b/>
          <w:bCs/>
        </w:rPr>
        <w:t>)</w:t>
      </w:r>
      <w:r w:rsidR="00161535" w:rsidRPr="00D45084">
        <w:rPr>
          <w:b/>
          <w:bCs/>
        </w:rPr>
        <w:t xml:space="preserve">, </w:t>
      </w:r>
      <w:r w:rsidRPr="00D45084">
        <w:rPr>
          <w:b/>
          <w:bCs/>
        </w:rPr>
        <w:t>[EUR/MWh]</w:t>
      </w:r>
      <w:r w:rsidR="005444F8" w:rsidRPr="00D45084">
        <w:rPr>
          <w:b/>
          <w:bCs/>
        </w:rPr>
        <w:t xml:space="preserve">: </w:t>
      </w:r>
    </w:p>
    <w:p w14:paraId="6D71C9B4" w14:textId="3A661F8D" w:rsidR="005444F8" w:rsidRDefault="005444F8" w:rsidP="00DD2787">
      <w:r>
        <w:tab/>
      </w:r>
      <w:r w:rsidR="003045DA">
        <w:t xml:space="preserve">Energy price for the </w:t>
      </w:r>
      <w:r w:rsidR="002C68AA">
        <w:t>hedged Base Band.</w:t>
      </w:r>
    </w:p>
    <w:p w14:paraId="028B616F" w14:textId="77777777" w:rsidR="00D45084" w:rsidRPr="00D45084" w:rsidRDefault="00D45084" w:rsidP="00244668">
      <w:pPr>
        <w:rPr>
          <w:b/>
          <w:bCs/>
        </w:rPr>
      </w:pPr>
      <w:r w:rsidRPr="00D45084">
        <w:rPr>
          <w:b/>
          <w:bCs/>
        </w:rPr>
        <w:t>Power Market Price (SPOT), [EUR/MWh]:</w:t>
      </w:r>
      <w:r w:rsidRPr="00D45084">
        <w:rPr>
          <w:b/>
          <w:bCs/>
        </w:rPr>
        <w:tab/>
      </w:r>
    </w:p>
    <w:p w14:paraId="0BFD5E65" w14:textId="73D3A5B5" w:rsidR="00D57A58" w:rsidRDefault="00D45084" w:rsidP="002229A5">
      <w:pPr>
        <w:ind w:left="720"/>
      </w:pPr>
      <w:r w:rsidRPr="00D45084">
        <w:t>This is the price at which electricity is bought and sold in the wholesale electricity market. It reflects the supply and demand dynamics in the market and can fluctuate throughout the day. In another word, it is the forecasted hourly electrical price.</w:t>
      </w:r>
    </w:p>
    <w:p w14:paraId="17662567" w14:textId="5B80E4D1" w:rsidR="00D57A58" w:rsidRPr="009733A0" w:rsidRDefault="00327D9E" w:rsidP="00D57A58">
      <w:pPr>
        <w:rPr>
          <w:b/>
          <w:bCs/>
        </w:rPr>
      </w:pPr>
      <w:r w:rsidRPr="009733A0">
        <w:rPr>
          <w:b/>
          <w:bCs/>
        </w:rPr>
        <w:lastRenderedPageBreak/>
        <w:t>Additional Power Price (Add.)</w:t>
      </w:r>
      <w:r w:rsidR="00D5564F" w:rsidRPr="009733A0">
        <w:rPr>
          <w:b/>
          <w:bCs/>
        </w:rPr>
        <w:t>,</w:t>
      </w:r>
      <w:r w:rsidR="00D57A58" w:rsidRPr="009733A0">
        <w:rPr>
          <w:b/>
          <w:bCs/>
        </w:rPr>
        <w:t xml:space="preserve"> [EUR/MWh]:</w:t>
      </w:r>
      <w:r w:rsidR="00D57A58" w:rsidRPr="009733A0">
        <w:rPr>
          <w:b/>
          <w:bCs/>
        </w:rPr>
        <w:tab/>
      </w:r>
    </w:p>
    <w:p w14:paraId="44B59E29" w14:textId="3BC8C9B9" w:rsidR="00D57A58" w:rsidRPr="009733A0" w:rsidRDefault="007C2098" w:rsidP="00D57A58">
      <w:pPr>
        <w:ind w:left="720"/>
      </w:pPr>
      <w:r w:rsidRPr="009733A0">
        <w:t xml:space="preserve">This price represents </w:t>
      </w:r>
      <w:r w:rsidR="00E43B2E" w:rsidRPr="009733A0">
        <w:t xml:space="preserve">the </w:t>
      </w:r>
      <w:r w:rsidRPr="009733A0">
        <w:t xml:space="preserve">distribution costs or capacity fee </w:t>
      </w:r>
      <w:r w:rsidR="00E43B2E" w:rsidRPr="009733A0">
        <w:t>for the electrical energy</w:t>
      </w:r>
      <w:r w:rsidR="0009592F" w:rsidRPr="009733A0">
        <w:t xml:space="preserve"> supplied </w:t>
      </w:r>
      <w:r w:rsidR="009733A0" w:rsidRPr="009733A0">
        <w:t>plant and</w:t>
      </w:r>
      <w:r w:rsidR="00967CF5" w:rsidRPr="009733A0">
        <w:t xml:space="preserve"> is applicable only to some selected sites</w:t>
      </w:r>
      <w:r w:rsidR="0009592F" w:rsidRPr="009733A0">
        <w:t xml:space="preserve">. </w:t>
      </w:r>
      <w:r w:rsidR="00E43B2E" w:rsidRPr="009733A0">
        <w:t xml:space="preserve"> </w:t>
      </w:r>
      <w:r w:rsidR="00967CF5" w:rsidRPr="009733A0">
        <w:t xml:space="preserve">Price granularity can be </w:t>
      </w:r>
      <w:proofErr w:type="gramStart"/>
      <w:r w:rsidR="00967CF5" w:rsidRPr="009733A0">
        <w:t>in</w:t>
      </w:r>
      <w:proofErr w:type="gramEnd"/>
      <w:r w:rsidR="00E43B2E" w:rsidRPr="009733A0">
        <w:t xml:space="preserve"> </w:t>
      </w:r>
      <w:r w:rsidR="00967CF5" w:rsidRPr="009733A0">
        <w:t xml:space="preserve">site </w:t>
      </w:r>
      <w:r w:rsidRPr="009733A0">
        <w:t xml:space="preserve">or country level. </w:t>
      </w:r>
      <w:r w:rsidR="00D57A58" w:rsidRPr="009733A0">
        <w:t>This</w:t>
      </w:r>
      <w:r w:rsidR="00F94B73" w:rsidRPr="009733A0">
        <w:t xml:space="preserve"> price</w:t>
      </w:r>
      <w:r w:rsidR="009733A0">
        <w:t xml:space="preserve"> is set to </w:t>
      </w:r>
      <w:r w:rsidR="00F94B73" w:rsidRPr="009733A0">
        <w:t>0 EUR/MWh for th</w:t>
      </w:r>
      <w:r w:rsidR="009733A0">
        <w:t>is study</w:t>
      </w:r>
      <w:r w:rsidR="00F94B73" w:rsidRPr="009733A0">
        <w:t xml:space="preserve">. </w:t>
      </w:r>
    </w:p>
    <w:p w14:paraId="01F1FED3" w14:textId="7AD70C33" w:rsidR="00F94B73" w:rsidRPr="009733A0" w:rsidRDefault="00F94B73" w:rsidP="00F94B73">
      <w:pPr>
        <w:rPr>
          <w:b/>
          <w:bCs/>
        </w:rPr>
      </w:pPr>
      <w:r w:rsidRPr="009733A0">
        <w:rPr>
          <w:b/>
          <w:bCs/>
        </w:rPr>
        <w:t xml:space="preserve">SPOT + </w:t>
      </w:r>
      <w:proofErr w:type="spellStart"/>
      <w:r w:rsidRPr="009733A0">
        <w:rPr>
          <w:b/>
          <w:bCs/>
        </w:rPr>
        <w:t>Add.Price</w:t>
      </w:r>
      <w:proofErr w:type="spellEnd"/>
      <w:r w:rsidR="00D5564F" w:rsidRPr="009733A0">
        <w:rPr>
          <w:b/>
          <w:bCs/>
        </w:rPr>
        <w:t>,</w:t>
      </w:r>
      <w:r w:rsidRPr="009733A0">
        <w:rPr>
          <w:b/>
          <w:bCs/>
        </w:rPr>
        <w:t xml:space="preserve"> [EUR/MWh]:</w:t>
      </w:r>
    </w:p>
    <w:p w14:paraId="0E5BBC07" w14:textId="2B2AFA3C" w:rsidR="00AA3F8C" w:rsidRDefault="00AA3F8C" w:rsidP="00AA3F8C">
      <w:pPr>
        <w:ind w:firstLine="720"/>
      </w:pPr>
      <w:r w:rsidRPr="009733A0">
        <w:t xml:space="preserve">The sum of SPOT price and </w:t>
      </w:r>
      <w:proofErr w:type="spellStart"/>
      <w:r w:rsidRPr="009733A0">
        <w:t>Add.Price</w:t>
      </w:r>
      <w:proofErr w:type="spellEnd"/>
      <w:r w:rsidRPr="009733A0">
        <w:t>.</w:t>
      </w:r>
    </w:p>
    <w:p w14:paraId="139B4106" w14:textId="30E6B0AE" w:rsidR="005659E3" w:rsidRPr="002235DB" w:rsidRDefault="009733A0" w:rsidP="00E677B0">
      <w:r>
        <w:t>The business has also highlighted th</w:t>
      </w:r>
      <w:r w:rsidR="0044739F">
        <w:t>at the</w:t>
      </w:r>
      <w:r>
        <w:t xml:space="preserve"> </w:t>
      </w:r>
      <w:r w:rsidR="00CC62CF">
        <w:t>H</w:t>
      </w:r>
      <w:r w:rsidR="00BA7FEB">
        <w:t>BB price (HBP) is</w:t>
      </w:r>
      <w:r w:rsidR="0044739F">
        <w:t xml:space="preserve"> defined hourly by</w:t>
      </w:r>
      <w:r w:rsidR="00BA7FEB">
        <w:t xml:space="preserve"> HBC/HBB.</w:t>
      </w:r>
      <w:r w:rsidR="00CC62CF">
        <w:t xml:space="preserve"> </w:t>
      </w:r>
    </w:p>
    <w:sectPr w:rsidR="005659E3" w:rsidRPr="00223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DBE86" w14:textId="77777777" w:rsidR="001471C2" w:rsidRDefault="001471C2" w:rsidP="004C4F26">
      <w:pPr>
        <w:spacing w:after="0" w:line="240" w:lineRule="auto"/>
      </w:pPr>
      <w:r>
        <w:separator/>
      </w:r>
    </w:p>
  </w:endnote>
  <w:endnote w:type="continuationSeparator" w:id="0">
    <w:p w14:paraId="2AFDF118" w14:textId="77777777" w:rsidR="001471C2" w:rsidRDefault="001471C2" w:rsidP="004C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1936F" w14:textId="77777777" w:rsidR="001471C2" w:rsidRDefault="001471C2" w:rsidP="004C4F26">
      <w:pPr>
        <w:spacing w:after="0" w:line="240" w:lineRule="auto"/>
      </w:pPr>
      <w:r>
        <w:separator/>
      </w:r>
    </w:p>
  </w:footnote>
  <w:footnote w:type="continuationSeparator" w:id="0">
    <w:p w14:paraId="50855B1A" w14:textId="77777777" w:rsidR="001471C2" w:rsidRDefault="001471C2" w:rsidP="004C4F26">
      <w:pPr>
        <w:spacing w:after="0" w:line="240" w:lineRule="auto"/>
      </w:pPr>
      <w:r>
        <w:continuationSeparator/>
      </w:r>
    </w:p>
  </w:footnote>
  <w:footnote w:id="1">
    <w:p w14:paraId="68C3C359" w14:textId="5C6F8E11" w:rsidR="001465EF" w:rsidRDefault="001465EF" w:rsidP="001465EF">
      <w:pPr>
        <w:pStyle w:val="Textonotapie"/>
      </w:pPr>
      <w:r>
        <w:rPr>
          <w:rStyle w:val="Refdenotaalpie"/>
        </w:rPr>
        <w:footnoteRef/>
      </w:r>
      <w:r>
        <w:t xml:space="preserve"> What does relatively here mean? As suggested by the business</w:t>
      </w:r>
      <w:r w:rsidR="00FB4EF8">
        <w:t>,</w:t>
      </w:r>
      <w:r>
        <w:t xml:space="preserve"> here we want to compare the energy price with respect to the Hedges </w:t>
      </w:r>
      <w:r w:rsidR="00BA7FEB">
        <w:t xml:space="preserve">base band </w:t>
      </w:r>
      <w:r>
        <w:t>price</w:t>
      </w:r>
      <w:r w:rsidR="00BA7FEB">
        <w:t xml:space="preserve"> (HBP)</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277DA"/>
    <w:multiLevelType w:val="hybridMultilevel"/>
    <w:tmpl w:val="3A38CD02"/>
    <w:lvl w:ilvl="0" w:tplc="4B80D5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75E0"/>
    <w:multiLevelType w:val="hybridMultilevel"/>
    <w:tmpl w:val="32BCD1DC"/>
    <w:lvl w:ilvl="0" w:tplc="6ECE3D18">
      <w:start w:val="1"/>
      <w:numFmt w:val="decimal"/>
      <w:lvlText w:val="%1."/>
      <w:lvlJc w:val="left"/>
      <w:pPr>
        <w:ind w:left="1080" w:hanging="360"/>
      </w:pPr>
      <w:rPr>
        <w:rFonts w:asciiTheme="minorHAnsi" w:eastAsiaTheme="minorHAnsi"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5B54D4D"/>
    <w:multiLevelType w:val="hybridMultilevel"/>
    <w:tmpl w:val="CC8CD4EA"/>
    <w:lvl w:ilvl="0" w:tplc="D1FEAB4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802D2"/>
    <w:multiLevelType w:val="hybridMultilevel"/>
    <w:tmpl w:val="C93A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41929">
    <w:abstractNumId w:val="0"/>
  </w:num>
  <w:num w:numId="2" w16cid:durableId="1895116004">
    <w:abstractNumId w:val="3"/>
  </w:num>
  <w:num w:numId="3" w16cid:durableId="762532287">
    <w:abstractNumId w:val="1"/>
  </w:num>
  <w:num w:numId="4" w16cid:durableId="284704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59"/>
    <w:rsid w:val="000038BC"/>
    <w:rsid w:val="00007D6F"/>
    <w:rsid w:val="00015C41"/>
    <w:rsid w:val="000258D1"/>
    <w:rsid w:val="000277ED"/>
    <w:rsid w:val="00035D5D"/>
    <w:rsid w:val="000447C9"/>
    <w:rsid w:val="00071CAF"/>
    <w:rsid w:val="0007358E"/>
    <w:rsid w:val="000832E6"/>
    <w:rsid w:val="0009592F"/>
    <w:rsid w:val="000B2A3C"/>
    <w:rsid w:val="000C7ACB"/>
    <w:rsid w:val="00120E34"/>
    <w:rsid w:val="00140F2A"/>
    <w:rsid w:val="001465EF"/>
    <w:rsid w:val="001471C2"/>
    <w:rsid w:val="001534F9"/>
    <w:rsid w:val="001541D4"/>
    <w:rsid w:val="00161535"/>
    <w:rsid w:val="001617F0"/>
    <w:rsid w:val="00161F5D"/>
    <w:rsid w:val="001643B4"/>
    <w:rsid w:val="00183471"/>
    <w:rsid w:val="00192101"/>
    <w:rsid w:val="001A1951"/>
    <w:rsid w:val="001B09C1"/>
    <w:rsid w:val="001E3C73"/>
    <w:rsid w:val="001F0C23"/>
    <w:rsid w:val="002072A1"/>
    <w:rsid w:val="002229A5"/>
    <w:rsid w:val="002235DB"/>
    <w:rsid w:val="00226B1E"/>
    <w:rsid w:val="002310FF"/>
    <w:rsid w:val="00235750"/>
    <w:rsid w:val="00241429"/>
    <w:rsid w:val="00244668"/>
    <w:rsid w:val="00254764"/>
    <w:rsid w:val="002620BB"/>
    <w:rsid w:val="00290AF0"/>
    <w:rsid w:val="00294B3A"/>
    <w:rsid w:val="002A195B"/>
    <w:rsid w:val="002B6927"/>
    <w:rsid w:val="002C1523"/>
    <w:rsid w:val="002C68AA"/>
    <w:rsid w:val="002D20FC"/>
    <w:rsid w:val="002E061D"/>
    <w:rsid w:val="00301381"/>
    <w:rsid w:val="003045DA"/>
    <w:rsid w:val="00315A70"/>
    <w:rsid w:val="00323586"/>
    <w:rsid w:val="00327D9E"/>
    <w:rsid w:val="003345AF"/>
    <w:rsid w:val="0037220D"/>
    <w:rsid w:val="003759BF"/>
    <w:rsid w:val="00381984"/>
    <w:rsid w:val="00393811"/>
    <w:rsid w:val="003A2EE0"/>
    <w:rsid w:val="003B2780"/>
    <w:rsid w:val="003C0EDC"/>
    <w:rsid w:val="003C6753"/>
    <w:rsid w:val="003F04AC"/>
    <w:rsid w:val="004318E8"/>
    <w:rsid w:val="00442ED2"/>
    <w:rsid w:val="00445717"/>
    <w:rsid w:val="0044739F"/>
    <w:rsid w:val="00451896"/>
    <w:rsid w:val="004640A9"/>
    <w:rsid w:val="00467181"/>
    <w:rsid w:val="004761FB"/>
    <w:rsid w:val="00477EBC"/>
    <w:rsid w:val="00494578"/>
    <w:rsid w:val="004C4F26"/>
    <w:rsid w:val="004D5F53"/>
    <w:rsid w:val="004E5092"/>
    <w:rsid w:val="00514F02"/>
    <w:rsid w:val="005208B5"/>
    <w:rsid w:val="005444F8"/>
    <w:rsid w:val="0054500B"/>
    <w:rsid w:val="005659E3"/>
    <w:rsid w:val="00565C4C"/>
    <w:rsid w:val="00577982"/>
    <w:rsid w:val="00587992"/>
    <w:rsid w:val="005933BC"/>
    <w:rsid w:val="005A4CC8"/>
    <w:rsid w:val="005B2011"/>
    <w:rsid w:val="005C0CC6"/>
    <w:rsid w:val="005E15B1"/>
    <w:rsid w:val="005E43C8"/>
    <w:rsid w:val="005F67DA"/>
    <w:rsid w:val="00620284"/>
    <w:rsid w:val="0063582B"/>
    <w:rsid w:val="00661B3B"/>
    <w:rsid w:val="006644CB"/>
    <w:rsid w:val="00670E98"/>
    <w:rsid w:val="0069260E"/>
    <w:rsid w:val="006D5920"/>
    <w:rsid w:val="00706669"/>
    <w:rsid w:val="007105AD"/>
    <w:rsid w:val="00722464"/>
    <w:rsid w:val="00724717"/>
    <w:rsid w:val="00755E8E"/>
    <w:rsid w:val="00767C91"/>
    <w:rsid w:val="00772DE9"/>
    <w:rsid w:val="00774730"/>
    <w:rsid w:val="007813E0"/>
    <w:rsid w:val="007B2BD5"/>
    <w:rsid w:val="007C0469"/>
    <w:rsid w:val="007C2098"/>
    <w:rsid w:val="007C40C8"/>
    <w:rsid w:val="007E7EC0"/>
    <w:rsid w:val="0082013B"/>
    <w:rsid w:val="00820F54"/>
    <w:rsid w:val="00824356"/>
    <w:rsid w:val="0083715D"/>
    <w:rsid w:val="00842E07"/>
    <w:rsid w:val="00847249"/>
    <w:rsid w:val="00870B3B"/>
    <w:rsid w:val="0089028F"/>
    <w:rsid w:val="008976C6"/>
    <w:rsid w:val="008A050E"/>
    <w:rsid w:val="008A1964"/>
    <w:rsid w:val="008A42AB"/>
    <w:rsid w:val="008A47B6"/>
    <w:rsid w:val="008A4CA3"/>
    <w:rsid w:val="008C2C66"/>
    <w:rsid w:val="008D788D"/>
    <w:rsid w:val="008F3CAA"/>
    <w:rsid w:val="009036C3"/>
    <w:rsid w:val="00912E56"/>
    <w:rsid w:val="00955A41"/>
    <w:rsid w:val="00960D8D"/>
    <w:rsid w:val="00967CF5"/>
    <w:rsid w:val="009733A0"/>
    <w:rsid w:val="009A7FA5"/>
    <w:rsid w:val="00A13A10"/>
    <w:rsid w:val="00A572F8"/>
    <w:rsid w:val="00A61F4D"/>
    <w:rsid w:val="00A6385C"/>
    <w:rsid w:val="00A76BFE"/>
    <w:rsid w:val="00A92D01"/>
    <w:rsid w:val="00A93B36"/>
    <w:rsid w:val="00AA3F8C"/>
    <w:rsid w:val="00AC49EE"/>
    <w:rsid w:val="00AD4AD7"/>
    <w:rsid w:val="00AD7B86"/>
    <w:rsid w:val="00B2112D"/>
    <w:rsid w:val="00B26BD8"/>
    <w:rsid w:val="00B34561"/>
    <w:rsid w:val="00B42CC9"/>
    <w:rsid w:val="00B541FD"/>
    <w:rsid w:val="00B62287"/>
    <w:rsid w:val="00B778EA"/>
    <w:rsid w:val="00B839D4"/>
    <w:rsid w:val="00BA7FEB"/>
    <w:rsid w:val="00BC7659"/>
    <w:rsid w:val="00BD5DAF"/>
    <w:rsid w:val="00BE4C25"/>
    <w:rsid w:val="00C02831"/>
    <w:rsid w:val="00C111D5"/>
    <w:rsid w:val="00C3062B"/>
    <w:rsid w:val="00C55E7B"/>
    <w:rsid w:val="00C64AF7"/>
    <w:rsid w:val="00CA75FA"/>
    <w:rsid w:val="00CC62CF"/>
    <w:rsid w:val="00CD4CC9"/>
    <w:rsid w:val="00CD5CF5"/>
    <w:rsid w:val="00CD6C36"/>
    <w:rsid w:val="00CE3EA2"/>
    <w:rsid w:val="00CF0969"/>
    <w:rsid w:val="00D11CDF"/>
    <w:rsid w:val="00D1761B"/>
    <w:rsid w:val="00D20BAF"/>
    <w:rsid w:val="00D26FD5"/>
    <w:rsid w:val="00D32FF8"/>
    <w:rsid w:val="00D3667E"/>
    <w:rsid w:val="00D45084"/>
    <w:rsid w:val="00D5564F"/>
    <w:rsid w:val="00D57A58"/>
    <w:rsid w:val="00D85DC8"/>
    <w:rsid w:val="00DA0485"/>
    <w:rsid w:val="00DB2BF2"/>
    <w:rsid w:val="00DD2787"/>
    <w:rsid w:val="00DE15F8"/>
    <w:rsid w:val="00DF12BD"/>
    <w:rsid w:val="00E30AFB"/>
    <w:rsid w:val="00E43B2E"/>
    <w:rsid w:val="00E677B0"/>
    <w:rsid w:val="00E805CA"/>
    <w:rsid w:val="00EA4770"/>
    <w:rsid w:val="00EE4AE4"/>
    <w:rsid w:val="00EF3888"/>
    <w:rsid w:val="00F0207A"/>
    <w:rsid w:val="00F55BA4"/>
    <w:rsid w:val="00F601AF"/>
    <w:rsid w:val="00F62807"/>
    <w:rsid w:val="00F94B73"/>
    <w:rsid w:val="00FA709C"/>
    <w:rsid w:val="00FB1AC1"/>
    <w:rsid w:val="00FB498B"/>
    <w:rsid w:val="00FB4EF8"/>
    <w:rsid w:val="00FC5C36"/>
    <w:rsid w:val="00FD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C6B32"/>
  <w15:chartTrackingRefBased/>
  <w15:docId w15:val="{A1DB4049-1B92-4DF3-8941-7F04207F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7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76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76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76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76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76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76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76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6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76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C76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76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76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76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76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76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7659"/>
    <w:rPr>
      <w:rFonts w:eastAsiaTheme="majorEastAsia" w:cstheme="majorBidi"/>
      <w:color w:val="272727" w:themeColor="text1" w:themeTint="D8"/>
    </w:rPr>
  </w:style>
  <w:style w:type="paragraph" w:styleId="Ttulo">
    <w:name w:val="Title"/>
    <w:basedOn w:val="Normal"/>
    <w:next w:val="Normal"/>
    <w:link w:val="TtuloCar"/>
    <w:uiPriority w:val="10"/>
    <w:qFormat/>
    <w:rsid w:val="00BC7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76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76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76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7659"/>
    <w:pPr>
      <w:spacing w:before="160"/>
      <w:jc w:val="center"/>
    </w:pPr>
    <w:rPr>
      <w:i/>
      <w:iCs/>
      <w:color w:val="404040" w:themeColor="text1" w:themeTint="BF"/>
    </w:rPr>
  </w:style>
  <w:style w:type="character" w:customStyle="1" w:styleId="CitaCar">
    <w:name w:val="Cita Car"/>
    <w:basedOn w:val="Fuentedeprrafopredeter"/>
    <w:link w:val="Cita"/>
    <w:uiPriority w:val="29"/>
    <w:rsid w:val="00BC7659"/>
    <w:rPr>
      <w:i/>
      <w:iCs/>
      <w:color w:val="404040" w:themeColor="text1" w:themeTint="BF"/>
    </w:rPr>
  </w:style>
  <w:style w:type="paragraph" w:styleId="Prrafodelista">
    <w:name w:val="List Paragraph"/>
    <w:basedOn w:val="Normal"/>
    <w:uiPriority w:val="34"/>
    <w:qFormat/>
    <w:rsid w:val="00BC7659"/>
    <w:pPr>
      <w:ind w:left="720"/>
      <w:contextualSpacing/>
    </w:pPr>
  </w:style>
  <w:style w:type="character" w:styleId="nfasisintenso">
    <w:name w:val="Intense Emphasis"/>
    <w:basedOn w:val="Fuentedeprrafopredeter"/>
    <w:uiPriority w:val="21"/>
    <w:qFormat/>
    <w:rsid w:val="00BC7659"/>
    <w:rPr>
      <w:i/>
      <w:iCs/>
      <w:color w:val="0F4761" w:themeColor="accent1" w:themeShade="BF"/>
    </w:rPr>
  </w:style>
  <w:style w:type="paragraph" w:styleId="Citadestacada">
    <w:name w:val="Intense Quote"/>
    <w:basedOn w:val="Normal"/>
    <w:next w:val="Normal"/>
    <w:link w:val="CitadestacadaCar"/>
    <w:uiPriority w:val="30"/>
    <w:qFormat/>
    <w:rsid w:val="00BC7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7659"/>
    <w:rPr>
      <w:i/>
      <w:iCs/>
      <w:color w:val="0F4761" w:themeColor="accent1" w:themeShade="BF"/>
    </w:rPr>
  </w:style>
  <w:style w:type="character" w:styleId="Referenciaintensa">
    <w:name w:val="Intense Reference"/>
    <w:basedOn w:val="Fuentedeprrafopredeter"/>
    <w:uiPriority w:val="32"/>
    <w:qFormat/>
    <w:rsid w:val="00BC7659"/>
    <w:rPr>
      <w:b/>
      <w:bCs/>
      <w:smallCaps/>
      <w:color w:val="0F4761" w:themeColor="accent1" w:themeShade="BF"/>
      <w:spacing w:val="5"/>
    </w:rPr>
  </w:style>
  <w:style w:type="paragraph" w:styleId="Encabezado">
    <w:name w:val="header"/>
    <w:basedOn w:val="Normal"/>
    <w:link w:val="EncabezadoCar"/>
    <w:uiPriority w:val="99"/>
    <w:unhideWhenUsed/>
    <w:rsid w:val="004C4F2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4F26"/>
  </w:style>
  <w:style w:type="paragraph" w:styleId="Piedepgina">
    <w:name w:val="footer"/>
    <w:basedOn w:val="Normal"/>
    <w:link w:val="PiedepginaCar"/>
    <w:uiPriority w:val="99"/>
    <w:unhideWhenUsed/>
    <w:rsid w:val="004C4F2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4F26"/>
  </w:style>
  <w:style w:type="paragraph" w:styleId="Textonotapie">
    <w:name w:val="footnote text"/>
    <w:basedOn w:val="Normal"/>
    <w:link w:val="TextonotapieCar"/>
    <w:uiPriority w:val="99"/>
    <w:semiHidden/>
    <w:unhideWhenUsed/>
    <w:rsid w:val="005F67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F67DA"/>
    <w:rPr>
      <w:sz w:val="20"/>
      <w:szCs w:val="20"/>
    </w:rPr>
  </w:style>
  <w:style w:type="character" w:styleId="Refdenotaalpie">
    <w:name w:val="footnote reference"/>
    <w:basedOn w:val="Fuentedeprrafopredeter"/>
    <w:uiPriority w:val="99"/>
    <w:semiHidden/>
    <w:unhideWhenUsed/>
    <w:rsid w:val="005F67DA"/>
    <w:rPr>
      <w:vertAlign w:val="superscript"/>
    </w:rPr>
  </w:style>
  <w:style w:type="character" w:styleId="Hipervnculo">
    <w:name w:val="Hyperlink"/>
    <w:basedOn w:val="Fuentedeprrafopredeter"/>
    <w:uiPriority w:val="99"/>
    <w:unhideWhenUsed/>
    <w:rsid w:val="00E30AFB"/>
    <w:rPr>
      <w:color w:val="467886" w:themeColor="hyperlink"/>
      <w:u w:val="single"/>
    </w:rPr>
  </w:style>
  <w:style w:type="character" w:styleId="Mencinsinresolver">
    <w:name w:val="Unresolved Mention"/>
    <w:basedOn w:val="Fuentedeprrafopredeter"/>
    <w:uiPriority w:val="99"/>
    <w:semiHidden/>
    <w:unhideWhenUsed/>
    <w:rsid w:val="00E30AFB"/>
    <w:rPr>
      <w:color w:val="605E5C"/>
      <w:shd w:val="clear" w:color="auto" w:fill="E1DFDD"/>
    </w:rPr>
  </w:style>
  <w:style w:type="character" w:styleId="nfasissutil">
    <w:name w:val="Subtle Emphasis"/>
    <w:basedOn w:val="Fuentedeprrafopredeter"/>
    <w:uiPriority w:val="19"/>
    <w:qFormat/>
    <w:rsid w:val="003C6753"/>
    <w:rPr>
      <w:i/>
      <w:iCs/>
      <w:color w:val="404040" w:themeColor="text1" w:themeTint="BF"/>
    </w:rPr>
  </w:style>
  <w:style w:type="character" w:styleId="nfasis">
    <w:name w:val="Emphasis"/>
    <w:basedOn w:val="Fuentedeprrafopredeter"/>
    <w:uiPriority w:val="20"/>
    <w:qFormat/>
    <w:rsid w:val="003C67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050">
      <w:bodyDiv w:val="1"/>
      <w:marLeft w:val="0"/>
      <w:marRight w:val="0"/>
      <w:marTop w:val="0"/>
      <w:marBottom w:val="0"/>
      <w:divBdr>
        <w:top w:val="none" w:sz="0" w:space="0" w:color="auto"/>
        <w:left w:val="none" w:sz="0" w:space="0" w:color="auto"/>
        <w:bottom w:val="none" w:sz="0" w:space="0" w:color="auto"/>
        <w:right w:val="none" w:sz="0" w:space="0" w:color="auto"/>
      </w:divBdr>
    </w:div>
    <w:div w:id="131098999">
      <w:bodyDiv w:val="1"/>
      <w:marLeft w:val="0"/>
      <w:marRight w:val="0"/>
      <w:marTop w:val="0"/>
      <w:marBottom w:val="0"/>
      <w:divBdr>
        <w:top w:val="none" w:sz="0" w:space="0" w:color="auto"/>
        <w:left w:val="none" w:sz="0" w:space="0" w:color="auto"/>
        <w:bottom w:val="none" w:sz="0" w:space="0" w:color="auto"/>
        <w:right w:val="none" w:sz="0" w:space="0" w:color="auto"/>
      </w:divBdr>
      <w:divsChild>
        <w:div w:id="1748838763">
          <w:marLeft w:val="0"/>
          <w:marRight w:val="0"/>
          <w:marTop w:val="0"/>
          <w:marBottom w:val="0"/>
          <w:divBdr>
            <w:top w:val="none" w:sz="0" w:space="0" w:color="auto"/>
            <w:left w:val="none" w:sz="0" w:space="0" w:color="auto"/>
            <w:bottom w:val="none" w:sz="0" w:space="0" w:color="auto"/>
            <w:right w:val="none" w:sz="0" w:space="0" w:color="auto"/>
          </w:divBdr>
          <w:divsChild>
            <w:div w:id="1478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500">
      <w:bodyDiv w:val="1"/>
      <w:marLeft w:val="0"/>
      <w:marRight w:val="0"/>
      <w:marTop w:val="0"/>
      <w:marBottom w:val="0"/>
      <w:divBdr>
        <w:top w:val="none" w:sz="0" w:space="0" w:color="auto"/>
        <w:left w:val="none" w:sz="0" w:space="0" w:color="auto"/>
        <w:bottom w:val="none" w:sz="0" w:space="0" w:color="auto"/>
        <w:right w:val="none" w:sz="0" w:space="0" w:color="auto"/>
      </w:divBdr>
      <w:divsChild>
        <w:div w:id="1544751143">
          <w:marLeft w:val="0"/>
          <w:marRight w:val="0"/>
          <w:marTop w:val="0"/>
          <w:marBottom w:val="0"/>
          <w:divBdr>
            <w:top w:val="none" w:sz="0" w:space="0" w:color="auto"/>
            <w:left w:val="none" w:sz="0" w:space="0" w:color="auto"/>
            <w:bottom w:val="none" w:sz="0" w:space="0" w:color="auto"/>
            <w:right w:val="none" w:sz="0" w:space="0" w:color="auto"/>
          </w:divBdr>
          <w:divsChild>
            <w:div w:id="7268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4569">
      <w:bodyDiv w:val="1"/>
      <w:marLeft w:val="0"/>
      <w:marRight w:val="0"/>
      <w:marTop w:val="0"/>
      <w:marBottom w:val="0"/>
      <w:divBdr>
        <w:top w:val="none" w:sz="0" w:space="0" w:color="auto"/>
        <w:left w:val="none" w:sz="0" w:space="0" w:color="auto"/>
        <w:bottom w:val="none" w:sz="0" w:space="0" w:color="auto"/>
        <w:right w:val="none" w:sz="0" w:space="0" w:color="auto"/>
      </w:divBdr>
      <w:divsChild>
        <w:div w:id="1714574665">
          <w:marLeft w:val="0"/>
          <w:marRight w:val="0"/>
          <w:marTop w:val="0"/>
          <w:marBottom w:val="0"/>
          <w:divBdr>
            <w:top w:val="none" w:sz="0" w:space="0" w:color="auto"/>
            <w:left w:val="none" w:sz="0" w:space="0" w:color="auto"/>
            <w:bottom w:val="none" w:sz="0" w:space="0" w:color="auto"/>
            <w:right w:val="none" w:sz="0" w:space="0" w:color="auto"/>
          </w:divBdr>
          <w:divsChild>
            <w:div w:id="7229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9280">
      <w:bodyDiv w:val="1"/>
      <w:marLeft w:val="0"/>
      <w:marRight w:val="0"/>
      <w:marTop w:val="0"/>
      <w:marBottom w:val="0"/>
      <w:divBdr>
        <w:top w:val="none" w:sz="0" w:space="0" w:color="auto"/>
        <w:left w:val="none" w:sz="0" w:space="0" w:color="auto"/>
        <w:bottom w:val="none" w:sz="0" w:space="0" w:color="auto"/>
        <w:right w:val="none" w:sz="0" w:space="0" w:color="auto"/>
      </w:divBdr>
    </w:div>
    <w:div w:id="1888829846">
      <w:bodyDiv w:val="1"/>
      <w:marLeft w:val="0"/>
      <w:marRight w:val="0"/>
      <w:marTop w:val="0"/>
      <w:marBottom w:val="0"/>
      <w:divBdr>
        <w:top w:val="none" w:sz="0" w:space="0" w:color="auto"/>
        <w:left w:val="none" w:sz="0" w:space="0" w:color="auto"/>
        <w:bottom w:val="none" w:sz="0" w:space="0" w:color="auto"/>
        <w:right w:val="none" w:sz="0" w:space="0" w:color="auto"/>
      </w:divBdr>
    </w:div>
    <w:div w:id="19609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B69E-527B-4AF7-967E-C579317F9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4</Pages>
  <Words>819</Words>
  <Characters>4506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Martino</dc:creator>
  <cp:keywords/>
  <dc:description/>
  <cp:lastModifiedBy>Lyes Taibi Kebouchi</cp:lastModifiedBy>
  <cp:revision>1</cp:revision>
  <dcterms:created xsi:type="dcterms:W3CDTF">2025-01-30T11:40:00Z</dcterms:created>
  <dcterms:modified xsi:type="dcterms:W3CDTF">2025-03-12T16:28:00Z</dcterms:modified>
</cp:coreProperties>
</file>