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4B3" w14:textId="7BB6A0D3" w:rsidR="009F1218" w:rsidRPr="00165010" w:rsidRDefault="00165010" w:rsidP="00165010">
      <w:r w:rsidRPr="00165010">
        <w:t>FDI pour Frégate de Défense et d’Intervention est un navire furtif avec des formes optimiser pour réduire au max</w:t>
      </w:r>
      <w:r w:rsidR="004E2C63">
        <w:t>imum</w:t>
      </w:r>
      <w:r w:rsidRPr="00165010">
        <w:t xml:space="preserve"> la surface équivalente au radar et le recours aux matériaux composite</w:t>
      </w:r>
      <w:r w:rsidR="004E2C63">
        <w:t>s</w:t>
      </w:r>
      <w:r w:rsidRPr="00165010">
        <w:t>.</w:t>
      </w:r>
      <w:r w:rsidR="004E2C63">
        <w:t xml:space="preserve"> Elle peut mener des missions antinavires (navires de surfaces ou sous-marins) et antiaériennes. Lorsqu’elle apparaît sur un écho radar ennemie, cette frégate apparait comme un navire de pêche de quelques centaines de tonnes.</w:t>
      </w:r>
    </w:p>
    <w:sectPr w:rsidR="009F1218" w:rsidRPr="00165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C3"/>
    <w:rsid w:val="000B1D1B"/>
    <w:rsid w:val="00165010"/>
    <w:rsid w:val="002A317E"/>
    <w:rsid w:val="00321C4A"/>
    <w:rsid w:val="0044234A"/>
    <w:rsid w:val="004E2C63"/>
    <w:rsid w:val="005E093A"/>
    <w:rsid w:val="00844648"/>
    <w:rsid w:val="00880FC3"/>
    <w:rsid w:val="009F1218"/>
    <w:rsid w:val="00DD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3948"/>
  <w15:chartTrackingRefBased/>
  <w15:docId w15:val="{0AA7066F-8E43-49C4-BEEA-69FD0458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3</cp:revision>
  <dcterms:created xsi:type="dcterms:W3CDTF">2022-01-06T21:23:00Z</dcterms:created>
  <dcterms:modified xsi:type="dcterms:W3CDTF">2022-01-07T07:37:00Z</dcterms:modified>
</cp:coreProperties>
</file>