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C4B3" w14:textId="44AA671E" w:rsidR="009F1218" w:rsidRPr="00321C4A" w:rsidRDefault="00321C4A" w:rsidP="00321C4A">
      <w:r w:rsidRPr="00321C4A">
        <w:t>Le rafale marine, peut mener tout type de missions comme la défense aérienne, l’attaque au sol et en profondeur, lutte antinavire, dissuasion nucléaire, reconnaissance et « nounou » pour le ravitaillement en vol d’autres appareils.</w:t>
      </w:r>
    </w:p>
    <w:sectPr w:rsidR="009F1218" w:rsidRPr="00321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C3"/>
    <w:rsid w:val="00321C4A"/>
    <w:rsid w:val="00844648"/>
    <w:rsid w:val="00880FC3"/>
    <w:rsid w:val="009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3948"/>
  <w15:chartTrackingRefBased/>
  <w15:docId w15:val="{0AA7066F-8E43-49C4-BEEA-69FD0458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2</cp:revision>
  <dcterms:created xsi:type="dcterms:W3CDTF">2022-01-06T21:20:00Z</dcterms:created>
  <dcterms:modified xsi:type="dcterms:W3CDTF">2022-01-06T21:20:00Z</dcterms:modified>
</cp:coreProperties>
</file>