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3aba3bb5a74759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E552C7D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64988DA7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4B7F1C21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