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f3be712a0740fe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pStyle w:val="a7"/>
        <w:spacing w:line="400" w:lineRule="exact"/>
        <w:rPr>
          <w:rFonts w:hint="eastAsia"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四氧化三铅与盐酸的反应</w:t>
      </w:r>
    </w:p>
    <w:p w:rsidRPr="00766682" w:rsidR="00766682" w:rsidP="00766682" w:rsidRDefault="00766682">
      <w:pPr>
        <w:spacing w:line="360" w:lineRule="auto"/>
        <w:rPr>
          <w:bCs/>
          <w:szCs w:val="21"/>
        </w:rPr>
      </w:pPr>
    </w:p>
    <w:p w:rsidR="00766682" w:rsidP="00766682" w:rsidRDefault="00766682">
      <w:pPr>
        <w:spacing w:line="360" w:lineRule="auto"/>
        <w:rPr>
          <w:bCs/>
          <w:szCs w:val="21"/>
        </w:rPr>
      </w:pPr>
    </w:p>
  </w:body>
</w:document>
</file>