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e3f26c558f453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对于一个确定的化学反应来说，下列说法中正确的是（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 xmlns:o="urn:schemas-microsoft-com:office:office" xmlns:v="urn:schemas-microsoft-com:vml" id="_x0000_i1027" style="width:29.25pt;height:18.7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3" ShapeID="_x0000_i1027" DrawAspect="Content" ObjectID="_1572182769" r:id="rId10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越负，反应速率越快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620" w:dyaOrig="380">
          <v:shape xmlns:o="urn:schemas-microsoft-com:office:office" xmlns:v="urn:schemas-microsoft-com:vml" id="_x0000_i1028" style="width:30.75pt;height:18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182770" r:id="rId12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越负，反应速率越快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</w:t>
      </w:r>
      <w:r>
        <w:rPr>
          <w:rFonts w:ascii="Times New Roman" w:hAnsi="Times New Roman" w:eastAsia="宋体" w:cs="Times New Roman"/>
          <w:color w:val="000000"/>
          <w:szCs w:val="21"/>
        </w:rPr>
        <w:t>活化能越大，反应速率越快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活化能越小，反应速率越快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9" /><Relationship Type="http://schemas.openxmlformats.org/officeDocument/2006/relationships/image" Target="/word/media/image4.wmf" Id="rId11" /></Relationships>
</file>