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ade587d714b5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各物质浓度的指数之和 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>一级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position w:val="-12"/>
          <w:sz w:val="21"/>
          <w:szCs w:val="21"/>
        </w:rPr>
        <w:object>
          <v:shape xmlns:o="urn:schemas-microsoft-com:office:office" xmlns:v="urn:schemas-microsoft-com:vml" id="_x0000_i1027" style="height:18pt;width:67pt;" coordsize="21600,21600" filled="f" stroked="f" o:spt="75" o:ole="t" o:preferrelative="t" type="#_x0000_t75">
            <v:path/>
            <v:fill on="f" alignshape="1" focussize="0,0"/>
            <v:stroke on="f"/>
            <v:imagedata xmlns:r="http://schemas.openxmlformats.org/officeDocument/2006/relationships" grayscale="f" bilevel="f" o:title="" r:id="rId9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DSMT4" ShapeID="_x0000_i1027" DrawAspect="Content" ObjectID="_1468075727" r:id="rId8">
            <o:LockedField>false</o:LockedField>
          </o:OLEObject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8" /><Relationship Type="http://schemas.openxmlformats.org/officeDocument/2006/relationships/image" Target="/word/media/image3.wmf" Id="rId9" /></Relationships>
</file>