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be2a5668a8432f" /></Relationships>
</file>

<file path=word/document.xml><?xml version="1.0" encoding="utf-8"?>
<w:document xmlns:w="http://schemas.openxmlformats.org/wordprocessingml/2006/main">
  <w:body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电子的波粒二象性是指（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电子有时候表现为粒子性</w:t>
      </w:r>
      <w:r>
        <w:rPr>
          <w:rFonts w:ascii="Times New Roman" w:hAnsi="Times New Roman" w:cs="Times New Roman" w:eastAsiaTheme="majorEastAsia"/>
          <w:szCs w:val="21"/>
        </w:rPr>
        <w:t xml:space="preserve">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电子有时候表现为波动性</w:t>
      </w:r>
    </w:p>
    <w:p w:rsidR="00940C9A" w:rsidRDefault="00B06DEC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电子既是粒子又是波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电子既表现为粒子性又表现为波动性</w:t>
      </w:r>
    </w:p>
  </w:body>
</w:document>
</file>