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9062532ea94056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同离子效应使难溶电解度溶解度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kern w:val="0"/>
          <w:szCs w:val="21"/>
        </w:rPr>
        <w:t>，盐效应使溶解度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/>
          <w:kern w:val="0"/>
          <w:szCs w:val="21"/>
        </w:rPr>
        <w:t>。</w:t>
      </w:r>
    </w:p>
  </w:body>
</w:document>
</file>