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15b8c613714296" /></Relationships>
</file>

<file path=word/document.xml><?xml version="1.0" encoding="utf-8"?>
<w:document xmlns:w="http://schemas.openxmlformats.org/wordprocessingml/2006/main">
  <w:body>
    <w:p w:rsidR="007C4FBA" w:rsidRDefault="00074A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元素的电离能</w:t>
      </w:r>
      <w:r>
        <w:rPr>
          <w:rFonts w:ascii="Times New Roman" w:hAnsi="Times New Roman" w:cs="Times New Roman" w:eastAsiaTheme="majorEastAsia"/>
          <w:szCs w:val="21"/>
        </w:rPr>
        <w:t>(I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1</w:t>
      </w:r>
      <w:r>
        <w:rPr>
          <w:rFonts w:ascii="Times New Roman" w:hAnsi="Times New Roman" w:cs="Times New Roman" w:eastAsiaTheme="majorEastAsia"/>
          <w:szCs w:val="21"/>
        </w:rPr>
        <w:t>)</w:t>
      </w:r>
      <w:r>
        <w:rPr>
          <w:rFonts w:ascii="Times New Roman" w:hAnsi="Times New Roman" w:cs="Times New Roman" w:eastAsiaTheme="majorEastAsia"/>
          <w:szCs w:val="21"/>
        </w:rPr>
        <w:t>越大</w:t>
      </w:r>
      <w:r>
        <w:rPr>
          <w:rFonts w:hint="eastAsia"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金属性也越强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