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7b04b64176408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将等体积浓度分别为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x</w:t>
      </w:r>
      <w:r>
        <w:rPr>
          <w:rFonts w:hint="default" w:ascii="Times New Roman" w:hAnsi="Times New Roman" w:cs="Times New Roman"/>
          <w:kern w:val="0"/>
          <w:szCs w:val="21"/>
        </w:rPr>
        <w:t>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y</w:t>
      </w:r>
      <w:r>
        <w:rPr>
          <w:rFonts w:hint="default" w:ascii="Times New Roman" w:hAnsi="Times New Roman" w:cs="Times New Roman"/>
          <w:kern w:val="0"/>
          <w:szCs w:val="21"/>
        </w:rPr>
        <w:t>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)的AgNO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和K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混合，这时Ag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正好饱和，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则Ag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为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</w:body>
</w:document>
</file>