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926bdccb0475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下列叙述中，正确的是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kern w:val="0"/>
          <w:szCs w:val="21"/>
        </w:rPr>
        <w:t xml:space="preserve"> 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由于AgCl水溶液的导电性很弱，所以它是弱电解质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 难溶电解质溶液中离子浓度的乘积就是该物质的溶度积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 溶度积大者，其溶解度就大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 用水稀释含有AgCl固体的溶液时，AgCl的溶度积不变，其溶解度也不变</w:t>
      </w:r>
    </w:p>
  </w:body>
</w:document>
</file>