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472700a9894d1c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已知AgOH和Ag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CrO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的溶度积分别为1.52×10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8</w:t>
      </w:r>
      <w:r>
        <w:rPr>
          <w:rFonts w:hint="default" w:ascii="Times New Roman" w:hAnsi="Times New Roman" w:cs="Times New Roman"/>
          <w:kern w:val="0"/>
          <w:szCs w:val="21"/>
        </w:rPr>
        <w:t>和1.2×10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12</w:t>
      </w:r>
      <w:r>
        <w:rPr>
          <w:rFonts w:hint="default" w:ascii="Times New Roman" w:hAnsi="Times New Roman" w:cs="Times New Roman"/>
          <w:kern w:val="0"/>
          <w:szCs w:val="21"/>
        </w:rPr>
        <w:t>，若某溶液中含有0.010 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1</w:t>
      </w:r>
      <w:r>
        <w:rPr>
          <w:rFonts w:hint="default" w:ascii="Times New Roman" w:hAnsi="Times New Roman" w:cs="Times New Roman"/>
          <w:kern w:val="0"/>
          <w:szCs w:val="21"/>
        </w:rPr>
        <w:t>的CrO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</w:rPr>
        <w:t>，逐滴加入AgNO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可生成Ag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CrO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 xml:space="preserve">沉淀。但若溶液的pH较大，就可能先生成AgOH沉淀，不生成AgOH沉淀的pH为 (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A &lt;7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</w:rPr>
        <w:t xml:space="preserve">B &lt; 9.7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</w:rPr>
        <w:t xml:space="preserve">C &lt;11.14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</w:rPr>
        <w:t>D &gt;12.6</w:t>
      </w:r>
    </w:p>
  </w:body>
</w:document>
</file>