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fefe957df4941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由于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系收缩的影响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使得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系以后的过渡元素与前一周期的同族元素的原子半径几乎相等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性质极为相似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而难于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ascii="Times New Roman" w:hAnsi="Times New Roman" w:cs="Times New Roman" w:eastAsiaTheme="majorEastAsia"/>
          <w:szCs w:val="21"/>
        </w:rPr>
        <w:t>如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ⅣB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族的</w:t>
      </w:r>
      <w:r>
        <w:rPr>
          <w:rFonts w:ascii="Times New Roman" w:hAnsi="Times New Roman" w:cs="Times New Roman" w:eastAsiaTheme="majorEastAsia"/>
          <w:szCs w:val="21"/>
        </w:rPr>
        <w:t>___________</w:t>
      </w:r>
    </w:p>
  </w:body>
</w:document>
</file>