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d7ea314574fbd" /></Relationships>
</file>

<file path=word/document.xml><?xml version="1.0" encoding="utf-8"?>
<w:document xmlns:w="http://schemas.openxmlformats.org/wordprocessingml/2006/main">
  <w:body>
    <w:p w:rsidR="00B4037C" w:rsidRDefault="006618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t>:</w:t>
      </w:r>
    </w:p>
    <w:p w:rsidR="00B4037C" w:rsidRDefault="006618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Cd(NO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溶液与氨水混合后，</w:t>
      </w:r>
      <w:r>
        <w:rPr>
          <w:rFonts w:hint="eastAsia"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(Cd2+)</w:t>
      </w:r>
      <w:r>
        <w:rPr>
          <w:rFonts w:ascii="Times New Roman" w:hAnsi="Times New Roman" w:cs="Times New Roman"/>
        </w:rPr>
        <w:t>=1.0×10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(NH3)</w:t>
      </w:r>
      <w:r>
        <w:rPr>
          <w:rFonts w:ascii="Times New Roman" w:hAnsi="Times New Roman" w:cs="Times New Roman"/>
        </w:rPr>
        <w:t>=5.0 mol·L</w:t>
      </w:r>
      <w:r>
        <w:rPr>
          <w:rFonts w:ascii="Times New Roman" w:hAnsi="Times New Roman" w:cs="Times New Roman"/>
          <w:vertAlign w:val="superscript"/>
        </w:rPr>
        <w:t>-1</w:t>
      </w:r>
    </w:p>
    <w:p w:rsidR="00B4037C" w:rsidRDefault="006618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先假设</w:t>
      </w:r>
      <w:r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全部与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aq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反应生成</w:t>
      </w:r>
      <w:r>
        <w:rPr>
          <w:rFonts w:ascii="Times New Roman" w:hAnsi="Times New Roman" w:cs="Times New Roman"/>
        </w:rPr>
        <w:t xml:space="preserve"> [Cd(NH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B4037C" w:rsidRDefault="00661848"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 +   4NH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)––– [Cd(NH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hint="eastAsia" w:ascii="Times New Roman" w:hAnsi="Times New Roman" w:cs="Times New Roman"/>
        </w:rPr>
        <w:t>)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平衡时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   5.0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>×1.0×10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+4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     1.0×10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>x</w:t>
      </w:r>
    </w:p>
    <w:p w:rsidR="00B4037C" w:rsidRDefault="00661848">
      <w:pPr>
        <w:spacing w:line="360" w:lineRule="auto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(Cd(NH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)=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1.0×10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</w:rPr>
        <w:t>)/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5.0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>×1.0×10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+4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= 2.78×10</w:t>
      </w:r>
      <w:r>
        <w:rPr>
          <w:rFonts w:ascii="Times New Roman" w:hAnsi="Times New Roman" w:cs="Times New Roman"/>
          <w:vertAlign w:val="superscript"/>
        </w:rPr>
        <w:t>7</w:t>
      </w:r>
    </w:p>
    <w:p w:rsidR="00B4037C" w:rsidRDefault="00661848">
      <w:pPr>
        <w:spacing w:line="360" w:lineRule="auto"/>
        <w:ind w:firstLine="840" w:firstLineChars="4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=5.8×10</w:t>
      </w:r>
      <w:r>
        <w:rPr>
          <w:rFonts w:ascii="Times New Roman" w:hAnsi="Times New Roman" w:cs="Times New Roman"/>
          <w:vertAlign w:val="superscript"/>
        </w:rPr>
        <w:t>-14</w:t>
      </w:r>
      <w:r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(Cd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)=5.8×10</w:t>
      </w:r>
      <w:r>
        <w:rPr>
          <w:rFonts w:ascii="Times New Roman" w:hAnsi="Times New Roman" w:cs="Times New Roman"/>
          <w:vertAlign w:val="superscript"/>
        </w:rPr>
        <w:t>-14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</w:p>
    <w:p w:rsidR="00B4037C" w:rsidRDefault="00661848">
      <w:pPr>
        <w:spacing w:line="360" w:lineRule="auto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再由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aq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的解离平衡求</w:t>
      </w:r>
      <w:r>
        <w:rPr>
          <w:rFonts w:ascii="Times New Roman" w:hAnsi="Times New Roman" w:cs="Times New Roman"/>
        </w:rPr>
        <w:t>c(OH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):</w:t>
      </w:r>
    </w:p>
    <w:p w:rsidR="00B4037C" w:rsidRDefault="00661848">
      <w:pPr>
        <w:spacing w:line="360" w:lineRule="auto"/>
        <w:ind w:firstLine="1470" w:firstLineChars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+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hint="eastAsia"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)–––NH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 + OH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平衡时</w:t>
      </w:r>
      <w:r>
        <w:rPr>
          <w:rFonts w:ascii="Times New Roman" w:hAnsi="Times New Roman" w:cs="Times New Roman"/>
        </w:rPr>
        <w:t xml:space="preserve">       5.0-y              y        y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b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)=1.8×10</w:t>
      </w:r>
      <w:r>
        <w:rPr>
          <w:rFonts w:ascii="Times New Roman" w:hAnsi="Times New Roman" w:cs="Times New Roman"/>
          <w:vertAlign w:val="superscript"/>
        </w:rPr>
        <w:t>-5</w:t>
      </w:r>
    </w:p>
    <w:p w:rsidR="00B4037C" w:rsidRDefault="00661848">
      <w:pPr>
        <w:spacing w:line="360" w:lineRule="auto"/>
        <w:ind w:firstLine="2940" w:firstLineChars="1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 (OH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) = 9.5×10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J=[c(Cd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)/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Arial" w:hAnsi="Arial" w:cs="Arial"/>
          <w:i/>
          <w:iCs/>
          <w:vertAlign w:val="superscript"/>
        </w:rPr>
        <w:t>θ</w:t>
      </w:r>
      <w:r>
        <w:rPr>
          <w:rFonts w:ascii="Times New Roman" w:hAnsi="Times New Roman" w:cs="Times New Roman"/>
        </w:rPr>
        <w:t>][ c(OH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)/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Arial" w:hAnsi="Arial" w:cs="Arial"/>
          <w:i/>
          <w:iCs/>
          <w:vertAlign w:val="superscript"/>
        </w:rPr>
        <w:t>θ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=5.8×10</w:t>
      </w:r>
      <w:r>
        <w:rPr>
          <w:rFonts w:ascii="Times New Roman" w:hAnsi="Times New Roman" w:cs="Times New Roman"/>
          <w:vertAlign w:val="superscript"/>
        </w:rPr>
        <w:t>-14</w:t>
      </w:r>
      <w:r>
        <w:rPr>
          <w:rFonts w:ascii="Times New Roman" w:hAnsi="Times New Roman" w:cs="Times New Roman"/>
        </w:rPr>
        <w:t>×(9.5×10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=5.2×10</w:t>
      </w:r>
      <w:r>
        <w:rPr>
          <w:rFonts w:ascii="Times New Roman" w:hAnsi="Times New Roman" w:cs="Times New Roman"/>
          <w:vertAlign w:val="superscript"/>
        </w:rPr>
        <w:t>-18</w:t>
      </w:r>
      <w:r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sp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Cd(OH)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)</w:t>
      </w:r>
    </w:p>
    <w:p w:rsidR="00B4037C" w:rsidRDefault="00661848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</w:rPr>
        <w:t>所以，无</w:t>
      </w:r>
      <w:r>
        <w:rPr>
          <w:rFonts w:ascii="Times New Roman" w:hAnsi="Times New Roman" w:cs="Times New Roman"/>
        </w:rPr>
        <w:t>Cd(OH)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沉淀生成，</w:t>
      </w:r>
      <w:r>
        <w:rPr>
          <w:rFonts w:ascii="Times New Roman" w:hAnsi="Times New Roman" w:cs="Times New Roman"/>
        </w:rPr>
        <w:t>Cd(Ⅱ)</w:t>
      </w: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[Cd(NH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形式存在。</w:t>
      </w:r>
    </w:p>
  </w:body>
</w:document>
</file>