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ae4f06a8c74aa8" /></Relationships>
</file>

<file path=word/document.xml><?xml version="1.0" encoding="utf-8"?>
<w:document xmlns:w="http://schemas.openxmlformats.org/wordprocessingml/2006/main">
  <w:body>
    <w:p w:rsidR="006D7E89" w:rsidP="00A03C3D" w:rsidRDefault="006D7E89">
      <w:pPr>
        <w:spacing w:line="360" w:lineRule="auto"/>
        <w:rPr>
          <w:rFonts w:ascii="宋体"/>
          <w:sz w:val="24"/>
          <w:u w:val="single"/>
        </w:rPr>
      </w:pPr>
      <w:r>
        <w:rPr>
          <w:rFonts w:hint="eastAsia" w:ascii="宋体" w:hAnsi="Calibri" w:eastAsia="宋体" w:cs="Times New Roman"/>
          <w:sz w:val="24"/>
        </w:rPr>
        <w:t>如果反应1的△rG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  <w:vertAlign w:val="superscript"/>
        </w:rPr>
        <w:t>θ</w:t>
      </w:r>
      <w:r>
        <w:rPr>
          <w:rFonts w:hint="eastAsia" w:ascii="宋体" w:hAnsi="Calibri" w:eastAsia="宋体" w:cs="Times New Roman"/>
          <w:sz w:val="24"/>
        </w:rPr>
        <w:t>&lt;0,反应2的△rG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  <w:vertAlign w:val="superscript"/>
        </w:rPr>
        <w:t>θ</w:t>
      </w:r>
      <w:r>
        <w:rPr>
          <w:rFonts w:hint="eastAsia" w:ascii="宋体" w:hAnsi="Calibri" w:eastAsia="宋体" w:cs="Times New Roman"/>
          <w:sz w:val="24"/>
        </w:rPr>
        <w:t>,|△rG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  <w:vertAlign w:val="superscript"/>
        </w:rPr>
        <w:t>θ</w:t>
      </w:r>
      <w:r>
        <w:rPr>
          <w:rFonts w:hint="eastAsia" w:ascii="宋体" w:hAnsi="Calibri" w:eastAsia="宋体" w:cs="Times New Roman"/>
          <w:sz w:val="24"/>
        </w:rPr>
        <w:t>|=(1/2)|△rG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  <w:vertAlign w:val="superscript"/>
        </w:rPr>
        <w:t>θ</w:t>
      </w:r>
      <w:r>
        <w:rPr>
          <w:rFonts w:hint="eastAsia" w:ascii="宋体" w:hAnsi="Calibri" w:eastAsia="宋体" w:cs="Times New Roman"/>
          <w:sz w:val="24"/>
        </w:rPr>
        <w:t>|,则K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与K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的关系的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</w:t>
      </w:r>
      <w:r>
        <w:rPr>
          <w:rFonts w:hint="eastAsia" w:ascii="宋体" w:hAnsi="Calibri" w:eastAsia="宋体" w:cs="Times New Roman"/>
          <w:sz w:val="24"/>
        </w:rPr>
        <w:t>;两反应的反应速度常数的相对大小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</w:t>
      </w:r>
    </w:p>
  </w:body>
</w:document>
</file>