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603306b674018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某温度下，反应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 = 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 + 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(g)的平衡常数K=2.25。把一定量的PCl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引入一真空瓶内，当达到平衡后PCl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的分压是2.533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，问：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（1）平衡时PCl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和Cl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的分压各是多少？（2）离解前PCl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的压强是多少？（3）平衡时PCl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的离解百分率是多少？</w:t>
      </w:r>
    </w:p>
  </w:body>
</w:document>
</file>