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b83a8094834c7c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）恒温恒压下裂解，通入水蒸气（不参加反应），体系总的物质的量增加。</w:t>
      </w:r>
      <w:r>
        <w:rPr>
          <w:szCs w:val="21"/>
        </w:rPr>
        <w:t>n</w:t>
      </w:r>
      <w:r>
        <w:rPr>
          <w:szCs w:val="21"/>
        </w:rPr>
        <w:t>增大，</w:t>
      </w:r>
      <w:r>
        <w:rPr>
          <w:szCs w:val="21"/>
        </w:rPr>
        <w:t>V</w:t>
      </w:r>
      <w:r>
        <w:rPr>
          <w:szCs w:val="21"/>
        </w:rPr>
        <w:t>必然也增大（因为</w:t>
      </w:r>
      <w:r>
        <w:rPr>
          <w:i/>
          <w:iCs/>
          <w:szCs w:val="21"/>
        </w:rPr>
        <w:t>P</w:t>
      </w:r>
      <w:r>
        <w:rPr>
          <w:i/>
          <w:iCs/>
          <w:szCs w:val="21"/>
        </w:rPr>
        <w:t>、</w:t>
      </w:r>
      <w:r>
        <w:rPr>
          <w:i/>
          <w:iCs/>
          <w:szCs w:val="21"/>
        </w:rPr>
        <w:t>T</w:t>
      </w:r>
      <w:r>
        <w:rPr>
          <w:szCs w:val="21"/>
        </w:rPr>
        <w:t>恒定），各组分的分压将减小，反应</w:t>
      </w:r>
      <w:r>
        <w:rPr>
          <w:i/>
          <w:iCs/>
          <w:szCs w:val="21"/>
        </w:rPr>
        <w:t>J</w:t>
      </w:r>
      <w:r>
        <w:rPr>
          <w:szCs w:val="21"/>
        </w:rPr>
        <w:t>＜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，最终导致平衡正向移动，乙烯产率提高。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）恒温</w:t>
      </w:r>
      <w:proofErr w:type="gramStart"/>
      <w:r>
        <w:rPr>
          <w:szCs w:val="21"/>
        </w:rPr>
        <w:t>恒</w:t>
      </w:r>
      <w:proofErr w:type="gramEnd"/>
      <w:r>
        <w:rPr>
          <w:szCs w:val="21"/>
        </w:rPr>
        <w:t>容下裂解，通入水蒸气（不参加反应），由</w:t>
      </w:r>
      <w:proofErr w:type="spellStart"/>
      <w:r>
        <w:rPr>
          <w:rStyle w:val="spelle"/>
          <w:i/>
          <w:iCs/>
          <w:szCs w:val="21"/>
        </w:rPr>
        <w:t>p</w:t>
      </w:r>
      <w:r>
        <w:rPr>
          <w:rStyle w:val="spelle"/>
          <w:szCs w:val="21"/>
          <w:vertAlign w:val="subscript"/>
        </w:rPr>
        <w:t>i</w:t>
      </w:r>
      <w:r>
        <w:rPr>
          <w:rStyle w:val="spelle"/>
          <w:i/>
          <w:iCs/>
          <w:szCs w:val="21"/>
        </w:rPr>
        <w:t>V</w:t>
      </w:r>
      <w:proofErr w:type="spellEnd"/>
      <w:r>
        <w:rPr>
          <w:szCs w:val="21"/>
        </w:rPr>
        <w:t xml:space="preserve"> = </w:t>
      </w:r>
      <w:proofErr w:type="spellStart"/>
      <w:r>
        <w:rPr>
          <w:rStyle w:val="spelle"/>
          <w:i/>
          <w:iCs/>
          <w:szCs w:val="21"/>
        </w:rPr>
        <w:t>n</w:t>
      </w:r>
      <w:r>
        <w:rPr>
          <w:rStyle w:val="spelle"/>
          <w:szCs w:val="21"/>
          <w:vertAlign w:val="subscript"/>
        </w:rPr>
        <w:t>i</w:t>
      </w:r>
      <w:r>
        <w:rPr>
          <w:rStyle w:val="spelle"/>
          <w:i/>
          <w:iCs/>
          <w:szCs w:val="21"/>
        </w:rPr>
        <w:t>RT</w:t>
      </w:r>
      <w:proofErr w:type="spellEnd"/>
      <w:r>
        <w:rPr>
          <w:szCs w:val="21"/>
        </w:rPr>
        <w:t>可知</w:t>
      </w:r>
      <w:r>
        <w:rPr>
          <w:i/>
          <w:iCs/>
          <w:szCs w:val="21"/>
        </w:rPr>
        <w:t>V</w:t>
      </w:r>
      <w:r>
        <w:rPr>
          <w:i/>
          <w:iCs/>
          <w:szCs w:val="21"/>
        </w:rPr>
        <w:t>、</w:t>
      </w:r>
      <w:r>
        <w:rPr>
          <w:i/>
          <w:iCs/>
          <w:szCs w:val="21"/>
        </w:rPr>
        <w:t>P</w:t>
      </w:r>
      <w:r>
        <w:rPr>
          <w:szCs w:val="21"/>
        </w:rPr>
        <w:t>不变，</w:t>
      </w:r>
      <w:proofErr w:type="spellStart"/>
      <w:r>
        <w:rPr>
          <w:rStyle w:val="spelle"/>
          <w:i/>
          <w:iCs/>
          <w:szCs w:val="21"/>
        </w:rPr>
        <w:t>n</w:t>
      </w:r>
      <w:r>
        <w:rPr>
          <w:rStyle w:val="spelle"/>
          <w:szCs w:val="21"/>
          <w:vertAlign w:val="subscript"/>
        </w:rPr>
        <w:t>i</w:t>
      </w:r>
      <w:proofErr w:type="spellEnd"/>
      <w:r>
        <w:rPr>
          <w:szCs w:val="21"/>
        </w:rPr>
        <w:t>也不变，</w:t>
      </w:r>
      <w:r>
        <w:rPr>
          <w:i/>
          <w:iCs/>
          <w:szCs w:val="21"/>
        </w:rPr>
        <w:t>p</w:t>
      </w:r>
      <w:r>
        <w:rPr>
          <w:szCs w:val="21"/>
          <w:vertAlign w:val="subscript"/>
        </w:rPr>
        <w:t>i</w:t>
      </w:r>
      <w:r>
        <w:rPr>
          <w:szCs w:val="21"/>
        </w:rPr>
        <w:t>也一定不变，因而</w:t>
      </w:r>
      <w:r>
        <w:rPr>
          <w:i/>
          <w:iCs/>
          <w:szCs w:val="21"/>
        </w:rPr>
        <w:t>J</w:t>
      </w:r>
      <w:r>
        <w:rPr>
          <w:szCs w:val="21"/>
        </w:rPr>
        <w:t xml:space="preserve"> =</w:t>
      </w:r>
      <w:r>
        <w:rPr>
          <w:i/>
          <w:iCs/>
          <w:szCs w:val="21"/>
        </w:rPr>
        <w:t>K</w:t>
      </w:r>
      <w:r>
        <w:rPr>
          <w:szCs w:val="21"/>
          <w:vertAlign w:val="superscript"/>
        </w:rPr>
        <w:t>Θ</w:t>
      </w:r>
      <w:r>
        <w:rPr>
          <w:szCs w:val="21"/>
        </w:rPr>
        <w:t>，平衡将不移</w:t>
      </w:r>
      <w:r>
        <w:rPr>
          <w:szCs w:val="21"/>
        </w:rPr>
        <w:lastRenderedPageBreak/>
        <w:t>动，乙烯产率不变。</w:t>
      </w:r>
    </w:p>
  </w:body>
</w:document>
</file>